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8389" w14:textId="77777777" w:rsidR="003B4DD6" w:rsidRPr="00D25F55" w:rsidRDefault="003B4DD6" w:rsidP="003B4DD6">
      <w:pPr>
        <w:pStyle w:val="Title"/>
        <w:rPr>
          <w:rFonts w:asciiTheme="minorHAnsi" w:hAnsiTheme="minorHAnsi" w:cstheme="minorHAnsi"/>
          <w:b/>
          <w:bCs/>
          <w:sz w:val="20"/>
          <w:szCs w:val="20"/>
        </w:rPr>
      </w:pPr>
    </w:p>
    <w:p w14:paraId="4968FC0E" w14:textId="4AF39DAA" w:rsidR="003B4DD6" w:rsidRPr="003B4DD6" w:rsidRDefault="00FC30C8" w:rsidP="003B4DD6">
      <w:pPr>
        <w:rPr>
          <w:sz w:val="40"/>
          <w:szCs w:val="40"/>
        </w:rPr>
      </w:pPr>
      <w:r w:rsidRPr="003B4DD6">
        <w:rPr>
          <w:b/>
          <w:bCs/>
          <w:sz w:val="40"/>
          <w:szCs w:val="40"/>
        </w:rPr>
        <w:t xml:space="preserve">ROLLING </w:t>
      </w:r>
      <w:r w:rsidR="00CD1347">
        <w:rPr>
          <w:b/>
          <w:bCs/>
          <w:sz w:val="40"/>
          <w:szCs w:val="40"/>
        </w:rPr>
        <w:t xml:space="preserve">INCOME </w:t>
      </w:r>
      <w:r w:rsidRPr="003B4DD6">
        <w:rPr>
          <w:b/>
          <w:bCs/>
          <w:sz w:val="40"/>
          <w:szCs w:val="40"/>
        </w:rPr>
        <w:t>TAX CONFORMITY</w:t>
      </w:r>
      <w:r w:rsidR="00E2539A" w:rsidRPr="003B4DD6">
        <w:rPr>
          <w:b/>
          <w:bCs/>
          <w:sz w:val="40"/>
          <w:szCs w:val="40"/>
        </w:rPr>
        <w:t>:</w:t>
      </w:r>
      <w:r w:rsidR="003B4DD6" w:rsidRPr="003B4DD6">
        <w:rPr>
          <w:b/>
          <w:bCs/>
          <w:sz w:val="40"/>
          <w:szCs w:val="40"/>
        </w:rPr>
        <w:t xml:space="preserve"> </w:t>
      </w:r>
      <w:r w:rsidR="00E2539A" w:rsidRPr="003B4DD6">
        <w:rPr>
          <w:sz w:val="40"/>
          <w:szCs w:val="40"/>
        </w:rPr>
        <w:t>Talking points</w:t>
      </w:r>
    </w:p>
    <w:p w14:paraId="139346AD" w14:textId="5E0DC222" w:rsidR="00530FB3" w:rsidRDefault="00EC4520" w:rsidP="003B4DD6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Enacting</w:t>
      </w:r>
      <w:r w:rsidR="00260A23" w:rsidRPr="003B4DD6">
        <w:rPr>
          <w:sz w:val="28"/>
          <w:szCs w:val="28"/>
        </w:rPr>
        <w:t xml:space="preserve"> rolling</w:t>
      </w:r>
      <w:r w:rsidR="00CD1347">
        <w:rPr>
          <w:sz w:val="28"/>
          <w:szCs w:val="28"/>
        </w:rPr>
        <w:t xml:space="preserve"> income</w:t>
      </w:r>
      <w:r w:rsidR="00260A23" w:rsidRPr="003B4DD6">
        <w:rPr>
          <w:sz w:val="28"/>
          <w:szCs w:val="28"/>
        </w:rPr>
        <w:t xml:space="preserve"> tax conformity in Virginia will reduce headaches for tax preparers, </w:t>
      </w:r>
      <w:r w:rsidR="003B4DD6" w:rsidRPr="003B4DD6">
        <w:rPr>
          <w:sz w:val="28"/>
          <w:szCs w:val="28"/>
        </w:rPr>
        <w:t>taxpayers, and even the government and software providers.</w:t>
      </w:r>
      <w:r w:rsidR="004C1EFF">
        <w:rPr>
          <w:sz w:val="28"/>
          <w:szCs w:val="28"/>
        </w:rPr>
        <w:t xml:space="preserve"> </w:t>
      </w:r>
      <w:r w:rsidR="004C1EFF" w:rsidRPr="003B4DD6">
        <w:rPr>
          <w:sz w:val="28"/>
          <w:szCs w:val="28"/>
        </w:rPr>
        <w:t xml:space="preserve">But how do you communicate the benefits of conformity in layman’s terms? </w:t>
      </w:r>
      <w:r w:rsidR="003B4DD6" w:rsidRPr="003B4DD6">
        <w:rPr>
          <w:sz w:val="28"/>
          <w:szCs w:val="28"/>
        </w:rPr>
        <w:t xml:space="preserve"> </w:t>
      </w:r>
      <w:r w:rsidR="004C1EFF">
        <w:rPr>
          <w:sz w:val="28"/>
          <w:szCs w:val="28"/>
        </w:rPr>
        <w:t xml:space="preserve">Start here! Rolling conformity is </w:t>
      </w:r>
      <w:r w:rsidR="00530FB3" w:rsidRPr="00433F4B">
        <w:rPr>
          <w:b/>
          <w:bCs/>
          <w:sz w:val="28"/>
          <w:szCs w:val="28"/>
        </w:rPr>
        <w:t>convenient</w:t>
      </w:r>
      <w:r w:rsidR="00530FB3">
        <w:rPr>
          <w:sz w:val="28"/>
          <w:szCs w:val="28"/>
        </w:rPr>
        <w:t xml:space="preserve">, </w:t>
      </w:r>
      <w:r w:rsidR="00530FB3" w:rsidRPr="00433F4B">
        <w:rPr>
          <w:b/>
          <w:bCs/>
          <w:sz w:val="28"/>
          <w:szCs w:val="28"/>
        </w:rPr>
        <w:t>eases complexity</w:t>
      </w:r>
      <w:r w:rsidR="00530FB3">
        <w:rPr>
          <w:sz w:val="28"/>
          <w:szCs w:val="28"/>
        </w:rPr>
        <w:t xml:space="preserve">, </w:t>
      </w:r>
      <w:r w:rsidR="00530FB3" w:rsidRPr="00433F4B">
        <w:rPr>
          <w:b/>
          <w:bCs/>
          <w:sz w:val="28"/>
          <w:szCs w:val="28"/>
        </w:rPr>
        <w:t>certain</w:t>
      </w:r>
      <w:r w:rsidR="00530FB3">
        <w:rPr>
          <w:sz w:val="28"/>
          <w:szCs w:val="28"/>
        </w:rPr>
        <w:t xml:space="preserve">, </w:t>
      </w:r>
      <w:r w:rsidR="00433F4B">
        <w:rPr>
          <w:sz w:val="28"/>
          <w:szCs w:val="28"/>
        </w:rPr>
        <w:t xml:space="preserve">and </w:t>
      </w:r>
      <w:r w:rsidR="00433F4B" w:rsidRPr="00433F4B">
        <w:rPr>
          <w:b/>
          <w:bCs/>
          <w:sz w:val="28"/>
          <w:szCs w:val="28"/>
        </w:rPr>
        <w:t>familiar</w:t>
      </w:r>
      <w:r w:rsidR="00433F4B">
        <w:rPr>
          <w:sz w:val="28"/>
          <w:szCs w:val="28"/>
        </w:rPr>
        <w:t>.</w:t>
      </w:r>
    </w:p>
    <w:p w14:paraId="62B6FE08" w14:textId="213EF1F1" w:rsidR="00E2539A" w:rsidRDefault="003B4DD6" w:rsidP="003B4DD6">
      <w:pPr>
        <w:pBdr>
          <w:bottom w:val="single" w:sz="6" w:space="1" w:color="auto"/>
        </w:pBdr>
        <w:rPr>
          <w:sz w:val="28"/>
          <w:szCs w:val="28"/>
        </w:rPr>
      </w:pPr>
      <w:r w:rsidRPr="003B4DD6">
        <w:rPr>
          <w:sz w:val="28"/>
          <w:szCs w:val="28"/>
        </w:rPr>
        <w:t>Below, you’ll find talking points to get you started.</w:t>
      </w:r>
    </w:p>
    <w:p w14:paraId="2DAABF9E" w14:textId="77777777" w:rsidR="00194E7A" w:rsidRDefault="00194E7A" w:rsidP="003B4DD6">
      <w:pPr>
        <w:pBdr>
          <w:bottom w:val="single" w:sz="6" w:space="1" w:color="auto"/>
        </w:pBdr>
        <w:rPr>
          <w:sz w:val="28"/>
          <w:szCs w:val="28"/>
        </w:rPr>
      </w:pPr>
    </w:p>
    <w:p w14:paraId="13E17D47" w14:textId="7D12C501" w:rsidR="00B225B8" w:rsidRPr="00194E7A" w:rsidRDefault="000C1276" w:rsidP="00B225B8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Talking points on why</w:t>
      </w:r>
      <w:r w:rsidR="00B225B8" w:rsidRPr="00194E7A">
        <w:rPr>
          <w:rFonts w:eastAsia="Times New Roman" w:cstheme="minorHAnsi"/>
          <w:b/>
          <w:bCs/>
          <w:sz w:val="28"/>
          <w:szCs w:val="28"/>
        </w:rPr>
        <w:t xml:space="preserve"> conformity benefits the CPA profession</w:t>
      </w:r>
      <w:r>
        <w:rPr>
          <w:rFonts w:eastAsia="Times New Roman" w:cstheme="minorHAnsi"/>
          <w:b/>
          <w:bCs/>
          <w:sz w:val="28"/>
          <w:szCs w:val="28"/>
        </w:rPr>
        <w:t>:</w:t>
      </w:r>
    </w:p>
    <w:p w14:paraId="41572E2C" w14:textId="77777777" w:rsidR="00B225B8" w:rsidRPr="00B225B8" w:rsidRDefault="00B225B8" w:rsidP="00B225B8">
      <w:pPr>
        <w:pStyle w:val="ListParagraph"/>
        <w:spacing w:after="0" w:line="240" w:lineRule="auto"/>
        <w:rPr>
          <w:rFonts w:eastAsia="Times New Roman" w:cstheme="minorHAnsi"/>
        </w:rPr>
      </w:pPr>
    </w:p>
    <w:p w14:paraId="1DDF1AD0" w14:textId="735DD7F7" w:rsidR="00977101" w:rsidRPr="008504BB" w:rsidRDefault="00977101" w:rsidP="0097710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033677">
        <w:rPr>
          <w:rFonts w:eastAsia="Times New Roman" w:cstheme="minorHAnsi"/>
          <w:b/>
          <w:bCs/>
        </w:rPr>
        <w:t xml:space="preserve">Large-scale advocacy efforts like rolling tax conformity raise the profile of </w:t>
      </w:r>
      <w:r w:rsidRPr="00033677">
        <w:rPr>
          <w:rFonts w:eastAsia="Times New Roman" w:cstheme="minorHAnsi"/>
          <w:b/>
          <w:bCs/>
          <w:i/>
          <w:iCs/>
        </w:rPr>
        <w:t>all</w:t>
      </w:r>
      <w:r w:rsidRPr="00033677">
        <w:rPr>
          <w:rFonts w:eastAsia="Times New Roman" w:cstheme="minorHAnsi"/>
          <w:b/>
          <w:bCs/>
        </w:rPr>
        <w:t xml:space="preserve"> CPAs.</w:t>
      </w:r>
      <w:r>
        <w:rPr>
          <w:rFonts w:eastAsia="Times New Roman" w:cstheme="minorHAnsi"/>
        </w:rPr>
        <w:t xml:space="preserve"> Legislative victories by the VSCPA and Virginia CPAs demonstrate our ability to effectively advocate for high-impact issues. Those victories increase our positive reputation and aid</w:t>
      </w:r>
      <w:r w:rsidRPr="008504BB">
        <w:rPr>
          <w:rFonts w:eastAsia="Times New Roman" w:cstheme="minorHAnsi"/>
        </w:rPr>
        <w:t xml:space="preserve"> in future advocacy initiatives in other areas</w:t>
      </w:r>
      <w:r>
        <w:rPr>
          <w:rFonts w:eastAsia="Times New Roman" w:cstheme="minorHAnsi"/>
        </w:rPr>
        <w:t>.</w:t>
      </w:r>
    </w:p>
    <w:p w14:paraId="13146D11" w14:textId="77777777" w:rsidR="00977101" w:rsidRPr="008504BB" w:rsidRDefault="00977101" w:rsidP="0097710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5D5E54">
        <w:rPr>
          <w:rFonts w:eastAsia="Times New Roman" w:cstheme="minorHAnsi"/>
          <w:b/>
          <w:bCs/>
        </w:rPr>
        <w:t>Building relationships with legislators benefits the entire profession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>by</w:t>
      </w:r>
      <w:r w:rsidRPr="008504BB">
        <w:rPr>
          <w:rFonts w:eastAsia="Times New Roman" w:cstheme="minorHAnsi"/>
        </w:rPr>
        <w:t xml:space="preserve"> showcas</w:t>
      </w:r>
      <w:r>
        <w:rPr>
          <w:rFonts w:eastAsia="Times New Roman" w:cstheme="minorHAnsi"/>
        </w:rPr>
        <w:t>ing the</w:t>
      </w:r>
      <w:r w:rsidRPr="008504BB">
        <w:rPr>
          <w:rFonts w:eastAsia="Times New Roman" w:cstheme="minorHAnsi"/>
        </w:rPr>
        <w:t xml:space="preserve"> unique perspective CPAs can offer on </w:t>
      </w:r>
      <w:r>
        <w:rPr>
          <w:rFonts w:eastAsia="Times New Roman" w:cstheme="minorHAnsi"/>
        </w:rPr>
        <w:t xml:space="preserve">state </w:t>
      </w:r>
      <w:r w:rsidRPr="008504BB">
        <w:rPr>
          <w:rFonts w:eastAsia="Times New Roman" w:cstheme="minorHAnsi"/>
        </w:rPr>
        <w:t>financ</w:t>
      </w:r>
      <w:r>
        <w:rPr>
          <w:rFonts w:eastAsia="Times New Roman" w:cstheme="minorHAnsi"/>
        </w:rPr>
        <w:t>es</w:t>
      </w:r>
      <w:r w:rsidRPr="008504BB">
        <w:rPr>
          <w:rFonts w:eastAsia="Times New Roman" w:cstheme="minorHAnsi"/>
        </w:rPr>
        <w:t>, tax</w:t>
      </w:r>
      <w:r>
        <w:rPr>
          <w:rFonts w:eastAsia="Times New Roman" w:cstheme="minorHAnsi"/>
        </w:rPr>
        <w:t>es</w:t>
      </w:r>
      <w:r w:rsidRPr="008504BB">
        <w:rPr>
          <w:rFonts w:eastAsia="Times New Roman" w:cstheme="minorHAnsi"/>
        </w:rPr>
        <w:t>, business strategy, data analytics</w:t>
      </w:r>
      <w:r>
        <w:rPr>
          <w:rFonts w:eastAsia="Times New Roman" w:cstheme="minorHAnsi"/>
        </w:rPr>
        <w:t>,</w:t>
      </w:r>
      <w:r w:rsidRPr="008504BB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in</w:t>
      </w:r>
      <w:r w:rsidRPr="008504BB">
        <w:rPr>
          <w:rFonts w:eastAsia="Times New Roman" w:cstheme="minorHAnsi"/>
        </w:rPr>
        <w:t xml:space="preserve"> other </w:t>
      </w:r>
      <w:r>
        <w:rPr>
          <w:rFonts w:eastAsia="Times New Roman" w:cstheme="minorHAnsi"/>
        </w:rPr>
        <w:t>areas.</w:t>
      </w:r>
    </w:p>
    <w:p w14:paraId="11A8CDF1" w14:textId="77777777" w:rsidR="00977101" w:rsidRDefault="00977101" w:rsidP="0097710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D948DF">
        <w:rPr>
          <w:rFonts w:eastAsia="Times New Roman" w:cstheme="minorHAnsi"/>
          <w:b/>
          <w:bCs/>
          <w:i/>
          <w:iCs/>
        </w:rPr>
        <w:t>All</w:t>
      </w:r>
      <w:r w:rsidRPr="00D948DF">
        <w:rPr>
          <w:rFonts w:eastAsia="Times New Roman" w:cstheme="minorHAnsi"/>
          <w:b/>
          <w:bCs/>
        </w:rPr>
        <w:t xml:space="preserve"> CPAs benefit personally as taxpayers.</w:t>
      </w:r>
      <w:r>
        <w:rPr>
          <w:rFonts w:eastAsia="Times New Roman" w:cstheme="minorHAnsi"/>
        </w:rPr>
        <w:t xml:space="preserve"> Just like all the other Virginia taxpayers who w</w:t>
      </w:r>
      <w:r w:rsidRPr="008504BB">
        <w:rPr>
          <w:rFonts w:eastAsia="Times New Roman" w:cstheme="minorHAnsi"/>
        </w:rPr>
        <w:t>ill be able to file timely returns,</w:t>
      </w:r>
      <w:r>
        <w:rPr>
          <w:rFonts w:eastAsia="Times New Roman" w:cstheme="minorHAnsi"/>
        </w:rPr>
        <w:t xml:space="preserve"> CPAs too will be able to more quickly file and complete</w:t>
      </w:r>
      <w:r w:rsidRPr="008504BB">
        <w:rPr>
          <w:rFonts w:eastAsia="Times New Roman" w:cstheme="minorHAnsi"/>
        </w:rPr>
        <w:t xml:space="preserve"> tax planning</w:t>
      </w:r>
      <w:r>
        <w:rPr>
          <w:rFonts w:eastAsia="Times New Roman" w:cstheme="minorHAnsi"/>
        </w:rPr>
        <w:t>.</w:t>
      </w:r>
    </w:p>
    <w:p w14:paraId="4171C9C3" w14:textId="7F53C053" w:rsidR="008E007E" w:rsidRPr="00977101" w:rsidRDefault="00977101" w:rsidP="00740474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CPAs who work in corporate finance or other industries and use another CPA for tax prep and planning will be assured their </w:t>
      </w:r>
      <w:r w:rsidRPr="007C2F5F">
        <w:rPr>
          <w:rFonts w:eastAsia="Times New Roman" w:cstheme="minorHAnsi"/>
        </w:rPr>
        <w:t xml:space="preserve">CPA’s time will be used for greater value </w:t>
      </w:r>
      <w:r>
        <w:rPr>
          <w:rFonts w:eastAsia="Times New Roman" w:cstheme="minorHAnsi"/>
        </w:rPr>
        <w:t xml:space="preserve">— </w:t>
      </w:r>
      <w:r w:rsidRPr="007C2F5F">
        <w:rPr>
          <w:rFonts w:eastAsia="Times New Roman" w:cstheme="minorHAnsi"/>
        </w:rPr>
        <w:t>tax planning instead of compliance</w:t>
      </w:r>
      <w:r>
        <w:rPr>
          <w:rFonts w:eastAsia="Times New Roman" w:cstheme="minorHAnsi"/>
        </w:rPr>
        <w:t>.</w:t>
      </w:r>
      <w:r w:rsidRPr="007C2F5F">
        <w:rPr>
          <w:rFonts w:eastAsia="Times New Roman" w:cstheme="minorHAnsi"/>
        </w:rPr>
        <w:t xml:space="preserve"> </w:t>
      </w:r>
    </w:p>
    <w:p w14:paraId="4E7DB793" w14:textId="77777777" w:rsidR="00194E7A" w:rsidRDefault="00194E7A" w:rsidP="00194E7A">
      <w:pPr>
        <w:spacing w:after="0"/>
        <w:rPr>
          <w:rFonts w:cstheme="minorHAnsi"/>
        </w:rPr>
      </w:pPr>
    </w:p>
    <w:p w14:paraId="0CD55863" w14:textId="541C9FE3" w:rsidR="00194E7A" w:rsidRPr="000C1276" w:rsidRDefault="00194E7A" w:rsidP="00194E7A">
      <w:pPr>
        <w:spacing w:after="0"/>
        <w:rPr>
          <w:rFonts w:cstheme="minorHAnsi"/>
          <w:b/>
          <w:bCs/>
          <w:sz w:val="28"/>
          <w:szCs w:val="28"/>
        </w:rPr>
      </w:pPr>
      <w:r w:rsidRPr="000C1276">
        <w:rPr>
          <w:rFonts w:cstheme="minorHAnsi"/>
          <w:b/>
          <w:bCs/>
          <w:sz w:val="28"/>
          <w:szCs w:val="28"/>
        </w:rPr>
        <w:t xml:space="preserve">Talking points for legislators and </w:t>
      </w:r>
      <w:r w:rsidR="000C1276" w:rsidRPr="000C1276">
        <w:rPr>
          <w:rFonts w:cstheme="minorHAnsi"/>
          <w:b/>
          <w:bCs/>
          <w:sz w:val="28"/>
          <w:szCs w:val="28"/>
        </w:rPr>
        <w:t>others learning about conformity</w:t>
      </w:r>
      <w:r w:rsidR="000C1276">
        <w:rPr>
          <w:rFonts w:cstheme="minorHAnsi"/>
          <w:b/>
          <w:bCs/>
          <w:sz w:val="28"/>
          <w:szCs w:val="28"/>
        </w:rPr>
        <w:t>:</w:t>
      </w:r>
    </w:p>
    <w:p w14:paraId="7AEEB30F" w14:textId="77777777" w:rsidR="000C1276" w:rsidRPr="00194E7A" w:rsidRDefault="000C1276" w:rsidP="00194E7A">
      <w:pPr>
        <w:spacing w:after="0"/>
        <w:rPr>
          <w:rFonts w:cstheme="minorHAnsi"/>
        </w:rPr>
      </w:pPr>
    </w:p>
    <w:p w14:paraId="7BD65DA2" w14:textId="0A85EA64" w:rsidR="008E007E" w:rsidRPr="008504BB" w:rsidRDefault="00902191" w:rsidP="003423E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902191">
        <w:rPr>
          <w:rFonts w:cstheme="minorHAnsi"/>
          <w:b/>
          <w:bCs/>
        </w:rPr>
        <w:t>Rolling c</w:t>
      </w:r>
      <w:r w:rsidR="008E007E" w:rsidRPr="00902191">
        <w:rPr>
          <w:rFonts w:cstheme="minorHAnsi"/>
          <w:b/>
          <w:bCs/>
        </w:rPr>
        <w:t xml:space="preserve">onformity is </w:t>
      </w:r>
      <w:r w:rsidR="008E007E" w:rsidRPr="00AC1CA9">
        <w:rPr>
          <w:rFonts w:cstheme="minorHAnsi"/>
          <w:b/>
          <w:bCs/>
        </w:rPr>
        <w:t>convenient</w:t>
      </w:r>
      <w:r>
        <w:rPr>
          <w:rFonts w:cstheme="minorHAnsi"/>
        </w:rPr>
        <w:t xml:space="preserve">, </w:t>
      </w:r>
      <w:r w:rsidR="008E007E" w:rsidRPr="00902191">
        <w:rPr>
          <w:rFonts w:cstheme="minorHAnsi"/>
        </w:rPr>
        <w:t>allow</w:t>
      </w:r>
      <w:r>
        <w:rPr>
          <w:rFonts w:cstheme="minorHAnsi"/>
        </w:rPr>
        <w:t>ing</w:t>
      </w:r>
      <w:r w:rsidR="008E007E" w:rsidRPr="008504BB">
        <w:rPr>
          <w:rFonts w:cstheme="minorHAnsi"/>
        </w:rPr>
        <w:t xml:space="preserve"> </w:t>
      </w:r>
      <w:r w:rsidR="00A127D8" w:rsidRPr="008504BB">
        <w:rPr>
          <w:rFonts w:cstheme="minorHAnsi"/>
        </w:rPr>
        <w:t>states</w:t>
      </w:r>
      <w:r w:rsidR="008E007E" w:rsidRPr="008504BB">
        <w:rPr>
          <w:rFonts w:cstheme="minorHAnsi"/>
        </w:rPr>
        <w:t xml:space="preserve"> to </w:t>
      </w:r>
      <w:r w:rsidR="00A127D8" w:rsidRPr="008504BB">
        <w:rPr>
          <w:rFonts w:cstheme="minorHAnsi"/>
        </w:rPr>
        <w:t>utilize</w:t>
      </w:r>
      <w:r w:rsidR="008E007E" w:rsidRPr="008504BB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="008E007E" w:rsidRPr="008504BB">
        <w:rPr>
          <w:rFonts w:cstheme="minorHAnsi"/>
        </w:rPr>
        <w:t>federal government’s definitions</w:t>
      </w:r>
      <w:r w:rsidR="00AC1CA9">
        <w:rPr>
          <w:rFonts w:cstheme="minorHAnsi"/>
        </w:rPr>
        <w:t xml:space="preserve"> of income</w:t>
      </w:r>
      <w:r w:rsidR="008E007E" w:rsidRPr="008504BB">
        <w:rPr>
          <w:rFonts w:cstheme="minorHAnsi"/>
        </w:rPr>
        <w:t>, audits</w:t>
      </w:r>
      <w:r w:rsidR="009C0497">
        <w:rPr>
          <w:rFonts w:cstheme="minorHAnsi"/>
        </w:rPr>
        <w:t>,</w:t>
      </w:r>
      <w:r w:rsidR="008E007E" w:rsidRPr="008504BB">
        <w:rPr>
          <w:rFonts w:cstheme="minorHAnsi"/>
        </w:rPr>
        <w:t xml:space="preserve"> and taxpayer data</w:t>
      </w:r>
      <w:r w:rsidR="00AC1CA9">
        <w:rPr>
          <w:rFonts w:cstheme="minorHAnsi"/>
        </w:rPr>
        <w:t>.</w:t>
      </w:r>
    </w:p>
    <w:p w14:paraId="7CEFC8CC" w14:textId="15B102DA" w:rsidR="003423EC" w:rsidRPr="008504BB" w:rsidRDefault="00AC1CA9" w:rsidP="003423E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AC1CA9">
        <w:rPr>
          <w:rFonts w:cstheme="minorHAnsi"/>
          <w:b/>
          <w:bCs/>
        </w:rPr>
        <w:t>Rolling c</w:t>
      </w:r>
      <w:r w:rsidR="008E007E" w:rsidRPr="00AC1CA9">
        <w:rPr>
          <w:rFonts w:cstheme="minorHAnsi"/>
          <w:b/>
          <w:bCs/>
        </w:rPr>
        <w:t xml:space="preserve">onformity eases </w:t>
      </w:r>
      <w:r w:rsidR="00166257">
        <w:rPr>
          <w:rFonts w:cstheme="minorHAnsi"/>
          <w:b/>
          <w:bCs/>
        </w:rPr>
        <w:t xml:space="preserve">tax </w:t>
      </w:r>
      <w:r w:rsidR="008E007E" w:rsidRPr="00AC1CA9">
        <w:rPr>
          <w:rFonts w:cstheme="minorHAnsi"/>
          <w:b/>
          <w:bCs/>
        </w:rPr>
        <w:t>complexity</w:t>
      </w:r>
      <w:r w:rsidR="00D76C31">
        <w:rPr>
          <w:rFonts w:cstheme="minorHAnsi"/>
          <w:b/>
          <w:bCs/>
        </w:rPr>
        <w:t xml:space="preserve"> </w:t>
      </w:r>
      <w:r w:rsidR="00D76C31">
        <w:rPr>
          <w:rFonts w:cstheme="minorHAnsi"/>
        </w:rPr>
        <w:t>for future tax years.</w:t>
      </w:r>
    </w:p>
    <w:p w14:paraId="5780E4BF" w14:textId="34B58E4B" w:rsidR="0077724E" w:rsidRPr="008504BB" w:rsidRDefault="00B5071F" w:rsidP="003423EC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>
        <w:rPr>
          <w:rFonts w:eastAsia="Times New Roman" w:cstheme="minorHAnsi"/>
        </w:rPr>
        <w:t xml:space="preserve">For example, it </w:t>
      </w:r>
      <w:r w:rsidR="00EC4520">
        <w:rPr>
          <w:rFonts w:eastAsia="Times New Roman" w:cstheme="minorHAnsi"/>
        </w:rPr>
        <w:t>would</w:t>
      </w:r>
      <w:r>
        <w:rPr>
          <w:rFonts w:eastAsia="Times New Roman" w:cstheme="minorHAnsi"/>
        </w:rPr>
        <w:t xml:space="preserve"> result in f</w:t>
      </w:r>
      <w:r w:rsidR="0077724E" w:rsidRPr="008504BB">
        <w:rPr>
          <w:rFonts w:eastAsia="Times New Roman" w:cstheme="minorHAnsi"/>
        </w:rPr>
        <w:t xml:space="preserve">ewer modifications </w:t>
      </w:r>
      <w:r>
        <w:rPr>
          <w:rFonts w:eastAsia="Times New Roman" w:cstheme="minorHAnsi"/>
        </w:rPr>
        <w:t>to federal adjusted gross income</w:t>
      </w:r>
      <w:r w:rsidR="00A37E91">
        <w:rPr>
          <w:rFonts w:eastAsia="Times New Roman" w:cstheme="minorHAnsi"/>
        </w:rPr>
        <w:t>/federal taxable income</w:t>
      </w:r>
      <w:r>
        <w:rPr>
          <w:rFonts w:eastAsia="Times New Roman" w:cstheme="minorHAnsi"/>
        </w:rPr>
        <w:t xml:space="preserve"> on tax returns and reduce taxpayers’ confusion and tax prep costs.</w:t>
      </w:r>
      <w:r w:rsidR="0077724E" w:rsidRPr="008504BB">
        <w:rPr>
          <w:rFonts w:eastAsia="Times New Roman" w:cstheme="minorHAnsi"/>
        </w:rPr>
        <w:t xml:space="preserve"> </w:t>
      </w:r>
    </w:p>
    <w:p w14:paraId="06D45FBD" w14:textId="6DC0A47E" w:rsidR="0077724E" w:rsidRPr="008504BB" w:rsidRDefault="00FC388B" w:rsidP="007E40A8">
      <w:pPr>
        <w:pStyle w:val="ListParagraph"/>
        <w:numPr>
          <w:ilvl w:val="1"/>
          <w:numId w:val="4"/>
        </w:numPr>
        <w:spacing w:after="0"/>
        <w:rPr>
          <w:rFonts w:cstheme="minorHAnsi"/>
        </w:rPr>
      </w:pPr>
      <w:r>
        <w:rPr>
          <w:rFonts w:eastAsia="Times New Roman" w:cstheme="minorHAnsi"/>
        </w:rPr>
        <w:t>Rolling conformity streamlines</w:t>
      </w:r>
      <w:r w:rsidR="0077724E" w:rsidRPr="008504BB">
        <w:rPr>
          <w:rFonts w:eastAsia="Times New Roman" w:cstheme="minorHAnsi"/>
        </w:rPr>
        <w:t xml:space="preserve"> administration </w:t>
      </w:r>
      <w:r w:rsidR="001C057D">
        <w:rPr>
          <w:rFonts w:eastAsia="Times New Roman" w:cstheme="minorHAnsi"/>
        </w:rPr>
        <w:t>for</w:t>
      </w:r>
      <w:r w:rsidR="0077724E" w:rsidRPr="008504BB">
        <w:rPr>
          <w:rFonts w:eastAsia="Times New Roman" w:cstheme="minorHAnsi"/>
        </w:rPr>
        <w:t xml:space="preserve"> both tax departments and software vendors</w:t>
      </w:r>
      <w:r w:rsidR="001C057D">
        <w:rPr>
          <w:rFonts w:eastAsia="Times New Roman" w:cstheme="minorHAnsi"/>
        </w:rPr>
        <w:t>:</w:t>
      </w:r>
    </w:p>
    <w:p w14:paraId="1C697BCD" w14:textId="785A5990" w:rsidR="0077724E" w:rsidRPr="008504BB" w:rsidRDefault="0077724E" w:rsidP="007E40A8">
      <w:pPr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 w:rsidRPr="008504BB">
        <w:rPr>
          <w:rFonts w:eastAsia="Times New Roman" w:cstheme="minorHAnsi"/>
        </w:rPr>
        <w:t>Less special programming</w:t>
      </w:r>
      <w:r w:rsidR="001C057D">
        <w:rPr>
          <w:rFonts w:eastAsia="Times New Roman" w:cstheme="minorHAnsi"/>
        </w:rPr>
        <w:t>.</w:t>
      </w:r>
    </w:p>
    <w:p w14:paraId="15BF2C69" w14:textId="3D2AD73C" w:rsidR="0077724E" w:rsidRPr="008504BB" w:rsidRDefault="0077724E" w:rsidP="007E40A8">
      <w:pPr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 w:rsidRPr="008504BB">
        <w:rPr>
          <w:rFonts w:eastAsia="Times New Roman" w:cstheme="minorHAnsi"/>
        </w:rPr>
        <w:t>Less complicated forms</w:t>
      </w:r>
      <w:r w:rsidR="001C057D">
        <w:rPr>
          <w:rFonts w:eastAsia="Times New Roman" w:cstheme="minorHAnsi"/>
        </w:rPr>
        <w:t>.</w:t>
      </w:r>
    </w:p>
    <w:p w14:paraId="62176FD1" w14:textId="2F8FDE42" w:rsidR="0077724E" w:rsidRPr="008504BB" w:rsidRDefault="0077724E" w:rsidP="007E40A8">
      <w:pPr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 w:rsidRPr="008504BB">
        <w:rPr>
          <w:rFonts w:eastAsia="Times New Roman" w:cstheme="minorHAnsi"/>
        </w:rPr>
        <w:t xml:space="preserve">Fewer filing mistakes </w:t>
      </w:r>
      <w:r w:rsidR="001C057D">
        <w:rPr>
          <w:rFonts w:eastAsia="Times New Roman" w:cstheme="minorHAnsi"/>
        </w:rPr>
        <w:t>and the</w:t>
      </w:r>
      <w:r w:rsidRPr="008504BB">
        <w:rPr>
          <w:rFonts w:eastAsia="Times New Roman" w:cstheme="minorHAnsi"/>
        </w:rPr>
        <w:t xml:space="preserve"> potential for fewer audits</w:t>
      </w:r>
      <w:r w:rsidR="001C057D">
        <w:rPr>
          <w:rFonts w:eastAsia="Times New Roman" w:cstheme="minorHAnsi"/>
        </w:rPr>
        <w:t>.</w:t>
      </w:r>
    </w:p>
    <w:p w14:paraId="16086292" w14:textId="52A1F4C9" w:rsidR="008E007E" w:rsidRPr="008504BB" w:rsidRDefault="0077724E" w:rsidP="007E40A8">
      <w:pPr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 w:rsidRPr="008504BB">
        <w:rPr>
          <w:rFonts w:eastAsia="Times New Roman" w:cstheme="minorHAnsi"/>
        </w:rPr>
        <w:t>Fewer amended returns filed due to late changes to fixed</w:t>
      </w:r>
      <w:r w:rsidR="00FC743F">
        <w:rPr>
          <w:rFonts w:eastAsia="Times New Roman" w:cstheme="minorHAnsi"/>
        </w:rPr>
        <w:t>-</w:t>
      </w:r>
      <w:r w:rsidRPr="008504BB">
        <w:rPr>
          <w:rFonts w:eastAsia="Times New Roman" w:cstheme="minorHAnsi"/>
        </w:rPr>
        <w:t>date conformity</w:t>
      </w:r>
      <w:r w:rsidR="00FC743F">
        <w:rPr>
          <w:rFonts w:eastAsia="Times New Roman" w:cstheme="minorHAnsi"/>
        </w:rPr>
        <w:t>.</w:t>
      </w:r>
    </w:p>
    <w:p w14:paraId="402C9872" w14:textId="2730CC97" w:rsidR="008C0DA9" w:rsidRDefault="008C0DA9" w:rsidP="001364E3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C80020">
        <w:rPr>
          <w:rFonts w:eastAsia="Times New Roman" w:cstheme="minorHAnsi"/>
          <w:b/>
          <w:bCs/>
        </w:rPr>
        <w:t>Rolling co</w:t>
      </w:r>
      <w:r w:rsidR="00C80020" w:rsidRPr="00C80020">
        <w:rPr>
          <w:rFonts w:eastAsia="Times New Roman" w:cstheme="minorHAnsi"/>
          <w:b/>
          <w:bCs/>
        </w:rPr>
        <w:t>nformity creates certainty</w:t>
      </w:r>
      <w:r w:rsidR="00C80020">
        <w:rPr>
          <w:rFonts w:eastAsia="Times New Roman" w:cstheme="minorHAnsi"/>
        </w:rPr>
        <w:t xml:space="preserve"> and aids in tax planning.</w:t>
      </w:r>
    </w:p>
    <w:p w14:paraId="7397F66F" w14:textId="02136B2A" w:rsidR="001364E3" w:rsidRPr="00C80020" w:rsidRDefault="00FF5518" w:rsidP="00C80020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 w:rsidRPr="00C80020">
        <w:rPr>
          <w:rFonts w:eastAsia="Times New Roman" w:cstheme="minorHAnsi"/>
        </w:rPr>
        <w:t xml:space="preserve">Static conformity requires annual </w:t>
      </w:r>
      <w:r w:rsidR="00804F18" w:rsidRPr="00C80020">
        <w:rPr>
          <w:rFonts w:eastAsia="Times New Roman" w:cstheme="minorHAnsi"/>
        </w:rPr>
        <w:t>retroactive legislation</w:t>
      </w:r>
      <w:r w:rsidR="00433F4B">
        <w:rPr>
          <w:rFonts w:eastAsia="Times New Roman" w:cstheme="minorHAnsi"/>
        </w:rPr>
        <w:t>,</w:t>
      </w:r>
      <w:r w:rsidR="00804F18" w:rsidRPr="00C80020">
        <w:rPr>
          <w:rFonts w:eastAsia="Times New Roman" w:cstheme="minorHAnsi"/>
        </w:rPr>
        <w:t xml:space="preserve"> which is not always passed</w:t>
      </w:r>
      <w:r w:rsidR="002667CF">
        <w:rPr>
          <w:rFonts w:eastAsia="Times New Roman" w:cstheme="minorHAnsi"/>
        </w:rPr>
        <w:t xml:space="preserve"> early in the Virginia General Assembly session. The later it’s addressed, the more </w:t>
      </w:r>
      <w:r w:rsidR="006C1EB3">
        <w:rPr>
          <w:rFonts w:eastAsia="Times New Roman" w:cstheme="minorHAnsi"/>
        </w:rPr>
        <w:t>uncertainty surrounds</w:t>
      </w:r>
      <w:r w:rsidR="00804F18" w:rsidRPr="00C80020">
        <w:rPr>
          <w:rFonts w:eastAsia="Times New Roman" w:cstheme="minorHAnsi"/>
        </w:rPr>
        <w:t xml:space="preserve"> change</w:t>
      </w:r>
      <w:r w:rsidR="006C1EB3">
        <w:rPr>
          <w:rFonts w:eastAsia="Times New Roman" w:cstheme="minorHAnsi"/>
        </w:rPr>
        <w:t>s</w:t>
      </w:r>
      <w:r w:rsidR="00804F18" w:rsidRPr="00C80020">
        <w:rPr>
          <w:rFonts w:eastAsia="Times New Roman" w:cstheme="minorHAnsi"/>
        </w:rPr>
        <w:t xml:space="preserve"> in rules </w:t>
      </w:r>
      <w:r w:rsidR="004A3BA9" w:rsidRPr="00C80020">
        <w:rPr>
          <w:rFonts w:eastAsia="Times New Roman" w:cstheme="minorHAnsi"/>
        </w:rPr>
        <w:t>during tax season</w:t>
      </w:r>
      <w:r w:rsidR="006C1EB3">
        <w:rPr>
          <w:rFonts w:eastAsia="Times New Roman" w:cstheme="minorHAnsi"/>
        </w:rPr>
        <w:t xml:space="preserve"> — making tax planning difficult.</w:t>
      </w:r>
    </w:p>
    <w:p w14:paraId="4BAC5F75" w14:textId="3AFC57BA" w:rsidR="00AF54E1" w:rsidRDefault="006C1EB3" w:rsidP="00AF54E1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CB00D4">
        <w:rPr>
          <w:rFonts w:eastAsia="Times New Roman" w:cstheme="minorHAnsi"/>
          <w:b/>
          <w:bCs/>
        </w:rPr>
        <w:t>Rolling conformity is familiar.</w:t>
      </w:r>
      <w:r>
        <w:rPr>
          <w:rFonts w:eastAsia="Times New Roman" w:cstheme="minorHAnsi"/>
        </w:rPr>
        <w:t xml:space="preserve"> Virginia </w:t>
      </w:r>
      <w:r w:rsidR="00CB7376">
        <w:rPr>
          <w:rFonts w:eastAsia="Times New Roman" w:cstheme="minorHAnsi"/>
        </w:rPr>
        <w:t>conformed to federal tax law changes automatically from 1972</w:t>
      </w:r>
      <w:r w:rsidR="006D4279">
        <w:rPr>
          <w:rFonts w:eastAsia="Times New Roman" w:cstheme="minorHAnsi"/>
        </w:rPr>
        <w:t>–</w:t>
      </w:r>
      <w:r w:rsidR="00CB7376">
        <w:rPr>
          <w:rFonts w:eastAsia="Times New Roman" w:cstheme="minorHAnsi"/>
        </w:rPr>
        <w:t>200</w:t>
      </w:r>
      <w:r w:rsidR="00284B57">
        <w:rPr>
          <w:rFonts w:eastAsia="Times New Roman" w:cstheme="minorHAnsi"/>
        </w:rPr>
        <w:t>2</w:t>
      </w:r>
      <w:r w:rsidR="00CB7376">
        <w:rPr>
          <w:rFonts w:eastAsia="Times New Roman" w:cstheme="minorHAnsi"/>
        </w:rPr>
        <w:t xml:space="preserve">. We are asking to return </w:t>
      </w:r>
      <w:r w:rsidR="00823A03">
        <w:rPr>
          <w:rFonts w:eastAsia="Times New Roman" w:cstheme="minorHAnsi"/>
        </w:rPr>
        <w:t xml:space="preserve">to a modified version of </w:t>
      </w:r>
      <w:r w:rsidR="004C1EFF">
        <w:rPr>
          <w:rFonts w:eastAsia="Times New Roman" w:cstheme="minorHAnsi"/>
        </w:rPr>
        <w:t>that</w:t>
      </w:r>
      <w:r w:rsidR="00823A03">
        <w:rPr>
          <w:rFonts w:eastAsia="Times New Roman" w:cstheme="minorHAnsi"/>
        </w:rPr>
        <w:t xml:space="preserve"> conformity</w:t>
      </w:r>
      <w:r w:rsidR="00CB00D4" w:rsidRPr="00AF54E1">
        <w:rPr>
          <w:rFonts w:eastAsia="Times New Roman" w:cstheme="minorHAnsi"/>
        </w:rPr>
        <w:t>.</w:t>
      </w:r>
    </w:p>
    <w:p w14:paraId="2C9AA3BD" w14:textId="41A6FD48" w:rsidR="00AF54E1" w:rsidRDefault="006E121B" w:rsidP="00AF54E1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Rolling conformity is not a novel idea. </w:t>
      </w:r>
      <w:r w:rsidR="00D66239">
        <w:rPr>
          <w:rFonts w:eastAsia="Times New Roman" w:cstheme="minorHAnsi"/>
        </w:rPr>
        <w:t>Many other states use this model</w:t>
      </w:r>
      <w:r>
        <w:rPr>
          <w:rFonts w:eastAsia="Times New Roman" w:cstheme="minorHAnsi"/>
        </w:rPr>
        <w:t xml:space="preserve"> — 20</w:t>
      </w:r>
      <w:r w:rsidR="005E431D">
        <w:rPr>
          <w:rFonts w:eastAsia="Times New Roman" w:cstheme="minorHAnsi"/>
        </w:rPr>
        <w:t xml:space="preserve"> states</w:t>
      </w:r>
      <w:r>
        <w:rPr>
          <w:rFonts w:eastAsia="Times New Roman" w:cstheme="minorHAnsi"/>
        </w:rPr>
        <w:t xml:space="preserve"> for individuals and 23 for corporations.</w:t>
      </w:r>
    </w:p>
    <w:p w14:paraId="07FABCBF" w14:textId="600575DB" w:rsidR="00823A03" w:rsidRDefault="00AF54E1" w:rsidP="00AF54E1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Rolling conformity still allows for Virginia</w:t>
      </w:r>
      <w:r w:rsidR="00301589">
        <w:rPr>
          <w:rFonts w:eastAsia="Times New Roman" w:cstheme="minorHAnsi"/>
          <w:b/>
          <w:bCs/>
        </w:rPr>
        <w:t>’s</w:t>
      </w:r>
      <w:r>
        <w:rPr>
          <w:rFonts w:eastAsia="Times New Roman" w:cstheme="minorHAnsi"/>
          <w:b/>
          <w:bCs/>
        </w:rPr>
        <w:t xml:space="preserve"> autonomy.</w:t>
      </w:r>
      <w:r>
        <w:rPr>
          <w:rFonts w:eastAsia="Times New Roman" w:cstheme="minorHAnsi"/>
        </w:rPr>
        <w:t xml:space="preserve"> The type of conformity we seek is </w:t>
      </w:r>
      <w:r w:rsidRPr="00AF54E1">
        <w:rPr>
          <w:rFonts w:eastAsia="Times New Roman" w:cstheme="minorHAnsi"/>
          <w:i/>
          <w:iCs/>
        </w:rPr>
        <w:t>modified</w:t>
      </w:r>
      <w:r>
        <w:rPr>
          <w:rFonts w:eastAsia="Times New Roman" w:cstheme="minorHAnsi"/>
        </w:rPr>
        <w:t>. That means</w:t>
      </w:r>
      <w:r w:rsidR="004D2D47">
        <w:rPr>
          <w:rFonts w:eastAsia="Times New Roman" w:cstheme="minorHAnsi"/>
        </w:rPr>
        <w:t>:</w:t>
      </w:r>
    </w:p>
    <w:p w14:paraId="79D02A70" w14:textId="34689FB5" w:rsidR="004D2D47" w:rsidRDefault="004D2D47" w:rsidP="004D2D47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Virginia would automatically conform to most federal changes each year, which </w:t>
      </w:r>
      <w:r w:rsidR="00A46AED">
        <w:rPr>
          <w:rFonts w:eastAsia="Times New Roman" w:cstheme="minorHAnsi"/>
        </w:rPr>
        <w:t>the state always does anyway.</w:t>
      </w:r>
    </w:p>
    <w:p w14:paraId="6A9476FE" w14:textId="27A12AA2" w:rsidR="00A46AED" w:rsidRPr="00AF54E1" w:rsidRDefault="00A46AED" w:rsidP="004D2D47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Since 2003, the Commonwealth has </w:t>
      </w:r>
      <w:proofErr w:type="spellStart"/>
      <w:r>
        <w:rPr>
          <w:rFonts w:eastAsia="Times New Roman" w:cstheme="minorHAnsi"/>
        </w:rPr>
        <w:t>deconformed</w:t>
      </w:r>
      <w:proofErr w:type="spellEnd"/>
      <w:r>
        <w:rPr>
          <w:rFonts w:eastAsia="Times New Roman" w:cstheme="minorHAnsi"/>
        </w:rPr>
        <w:t xml:space="preserve"> to 10 provisions. </w:t>
      </w:r>
      <w:r w:rsidR="00925DDE">
        <w:rPr>
          <w:rFonts w:eastAsia="Times New Roman" w:cstheme="minorHAnsi"/>
        </w:rPr>
        <w:t xml:space="preserve">Rolling tax conformity does </w:t>
      </w:r>
      <w:r w:rsidR="00925DDE" w:rsidRPr="00925DDE">
        <w:rPr>
          <w:rFonts w:eastAsia="Times New Roman" w:cstheme="minorHAnsi"/>
          <w:i/>
          <w:iCs/>
        </w:rPr>
        <w:t>not</w:t>
      </w:r>
      <w:r w:rsidR="00925DDE">
        <w:rPr>
          <w:rFonts w:eastAsia="Times New Roman" w:cstheme="minorHAnsi"/>
        </w:rPr>
        <w:t xml:space="preserve"> prevent lawmakers from enacting legislation to decouple </w:t>
      </w:r>
      <w:r w:rsidR="00CB382E">
        <w:rPr>
          <w:rFonts w:eastAsia="Times New Roman" w:cstheme="minorHAnsi"/>
        </w:rPr>
        <w:t>if necessary</w:t>
      </w:r>
      <w:r w:rsidR="00925DDE">
        <w:rPr>
          <w:rFonts w:eastAsia="Times New Roman" w:cstheme="minorHAnsi"/>
        </w:rPr>
        <w:t xml:space="preserve">. </w:t>
      </w:r>
    </w:p>
    <w:p w14:paraId="3716B9B1" w14:textId="7D75BAFF" w:rsidR="0070536D" w:rsidRPr="0028445E" w:rsidRDefault="0028445E" w:rsidP="003407DE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</w:rPr>
      </w:pPr>
      <w:r w:rsidRPr="0028445E">
        <w:rPr>
          <w:rFonts w:eastAsia="Times New Roman" w:cstheme="minorHAnsi"/>
          <w:b/>
          <w:bCs/>
        </w:rPr>
        <w:t>Rolling conformity is better for Virginia’s government.</w:t>
      </w:r>
    </w:p>
    <w:p w14:paraId="6A4E8945" w14:textId="141E3616" w:rsidR="00DC7048" w:rsidRDefault="0028445E" w:rsidP="0028445E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By having tax conformity occur automatically each year, the </w:t>
      </w:r>
      <w:r w:rsidR="008F4A2C" w:rsidRPr="0028445E">
        <w:rPr>
          <w:rFonts w:eastAsia="Times New Roman" w:cstheme="minorHAnsi"/>
        </w:rPr>
        <w:t xml:space="preserve">General Assembly </w:t>
      </w:r>
      <w:r>
        <w:rPr>
          <w:rFonts w:eastAsia="Times New Roman" w:cstheme="minorHAnsi"/>
        </w:rPr>
        <w:t>is free to</w:t>
      </w:r>
      <w:r w:rsidR="008F4A2C" w:rsidRPr="0028445E">
        <w:rPr>
          <w:rFonts w:eastAsia="Times New Roman" w:cstheme="minorHAnsi"/>
        </w:rPr>
        <w:t xml:space="preserve"> focus on </w:t>
      </w:r>
      <w:r w:rsidR="00A96142">
        <w:rPr>
          <w:rFonts w:eastAsia="Times New Roman" w:cstheme="minorHAnsi"/>
        </w:rPr>
        <w:t>substantive tax policy</w:t>
      </w:r>
      <w:r>
        <w:rPr>
          <w:rFonts w:eastAsia="Times New Roman" w:cstheme="minorHAnsi"/>
        </w:rPr>
        <w:t>.</w:t>
      </w:r>
    </w:p>
    <w:p w14:paraId="3232EF71" w14:textId="6CED57AC" w:rsidR="00B14AB5" w:rsidRDefault="00051866" w:rsidP="00B14AB5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Administrative burdens like form updates will be lifted from the Virginia Department of Taxation, allowing the agency to focus on more complex issues </w:t>
      </w:r>
      <w:r w:rsidR="003458DE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>compliance.</w:t>
      </w:r>
    </w:p>
    <w:p w14:paraId="43268CC8" w14:textId="2BE00261" w:rsidR="00250425" w:rsidRPr="00977101" w:rsidRDefault="00051866" w:rsidP="000158D0">
      <w:pPr>
        <w:numPr>
          <w:ilvl w:val="1"/>
          <w:numId w:val="5"/>
        </w:numPr>
        <w:spacing w:after="0" w:line="240" w:lineRule="auto"/>
        <w:rPr>
          <w:rFonts w:eastAsia="Times New Roman" w:cstheme="minorHAnsi"/>
        </w:rPr>
      </w:pPr>
      <w:r w:rsidRPr="00B14AB5">
        <w:rPr>
          <w:rFonts w:eastAsia="Times New Roman" w:cstheme="minorHAnsi"/>
        </w:rPr>
        <w:t>The state’s bottom line will benefit: With taxpayers not handcuffed to waiting on conformity, tax return filings and payments will occur earlier.</w:t>
      </w:r>
      <w:r w:rsidR="00CF7882" w:rsidRPr="00B14AB5">
        <w:rPr>
          <w:rFonts w:eastAsia="Times New Roman" w:cstheme="minorHAnsi"/>
        </w:rPr>
        <w:t xml:space="preserve"> </w:t>
      </w:r>
      <w:r w:rsidR="007C2F5F" w:rsidRPr="00B14AB5">
        <w:rPr>
          <w:rFonts w:eastAsia="Times New Roman" w:cstheme="minorHAnsi"/>
        </w:rPr>
        <w:t xml:space="preserve">Individual taxpayers are 77% of state tax revenue, so tax conformity will give legislators and regulators </w:t>
      </w:r>
      <w:r w:rsidR="00120457" w:rsidRPr="00B14AB5">
        <w:rPr>
          <w:rFonts w:eastAsia="Times New Roman" w:cstheme="minorHAnsi"/>
        </w:rPr>
        <w:t>better certainty related to revenue.</w:t>
      </w:r>
    </w:p>
    <w:sectPr w:rsidR="00250425" w:rsidRPr="0097710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D074" w14:textId="77777777" w:rsidR="00286189" w:rsidRDefault="00286189" w:rsidP="00FC30C8">
      <w:pPr>
        <w:spacing w:after="0" w:line="240" w:lineRule="auto"/>
      </w:pPr>
      <w:r>
        <w:separator/>
      </w:r>
    </w:p>
  </w:endnote>
  <w:endnote w:type="continuationSeparator" w:id="0">
    <w:p w14:paraId="2DB3A722" w14:textId="77777777" w:rsidR="00286189" w:rsidRDefault="00286189" w:rsidP="00FC30C8">
      <w:pPr>
        <w:spacing w:after="0" w:line="240" w:lineRule="auto"/>
      </w:pPr>
      <w:r>
        <w:continuationSeparator/>
      </w:r>
    </w:p>
  </w:endnote>
  <w:endnote w:type="continuationNotice" w:id="1">
    <w:p w14:paraId="346E9A0C" w14:textId="77777777" w:rsidR="00286189" w:rsidRDefault="00286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E101" w14:textId="77777777" w:rsidR="00286189" w:rsidRDefault="00286189" w:rsidP="00FC30C8">
      <w:pPr>
        <w:spacing w:after="0" w:line="240" w:lineRule="auto"/>
      </w:pPr>
      <w:r>
        <w:separator/>
      </w:r>
    </w:p>
  </w:footnote>
  <w:footnote w:type="continuationSeparator" w:id="0">
    <w:p w14:paraId="6AD67D6E" w14:textId="77777777" w:rsidR="00286189" w:rsidRDefault="00286189" w:rsidP="00FC30C8">
      <w:pPr>
        <w:spacing w:after="0" w:line="240" w:lineRule="auto"/>
      </w:pPr>
      <w:r>
        <w:continuationSeparator/>
      </w:r>
    </w:p>
  </w:footnote>
  <w:footnote w:type="continuationNotice" w:id="1">
    <w:p w14:paraId="51673618" w14:textId="77777777" w:rsidR="00286189" w:rsidRDefault="00286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36E2" w14:textId="02ECA964" w:rsidR="00FC30C8" w:rsidRDefault="00FC30C8">
    <w:pPr>
      <w:pStyle w:val="Header"/>
    </w:pPr>
    <w:r>
      <w:rPr>
        <w:noProof/>
      </w:rPr>
      <w:drawing>
        <wp:inline distT="0" distB="0" distL="0" distR="0" wp14:anchorId="6683BC48" wp14:editId="3F4808C2">
          <wp:extent cx="1754736" cy="390525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443" cy="39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A3625" w14:textId="77777777" w:rsidR="00FC30C8" w:rsidRDefault="00FC3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233"/>
    <w:multiLevelType w:val="hybridMultilevel"/>
    <w:tmpl w:val="633A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7EF5"/>
    <w:multiLevelType w:val="hybridMultilevel"/>
    <w:tmpl w:val="B50C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513"/>
    <w:multiLevelType w:val="hybridMultilevel"/>
    <w:tmpl w:val="FFFFFFFF"/>
    <w:lvl w:ilvl="0" w:tplc="F83C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8F2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EEF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C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2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E4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8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3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AD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1B16"/>
    <w:multiLevelType w:val="hybridMultilevel"/>
    <w:tmpl w:val="FFFFFFFF"/>
    <w:lvl w:ilvl="0" w:tplc="19808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47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A0A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E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5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4E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7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9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902"/>
    <w:multiLevelType w:val="multilevel"/>
    <w:tmpl w:val="3C0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F63C3F"/>
    <w:multiLevelType w:val="hybridMultilevel"/>
    <w:tmpl w:val="FFFFFFFF"/>
    <w:lvl w:ilvl="0" w:tplc="CDD4D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B0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6D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F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E4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2D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A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68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21504">
    <w:abstractNumId w:val="2"/>
  </w:num>
  <w:num w:numId="2" w16cid:durableId="1735657899">
    <w:abstractNumId w:val="3"/>
  </w:num>
  <w:num w:numId="3" w16cid:durableId="385880489">
    <w:abstractNumId w:val="5"/>
  </w:num>
  <w:num w:numId="4" w16cid:durableId="532577495">
    <w:abstractNumId w:val="0"/>
  </w:num>
  <w:num w:numId="5" w16cid:durableId="1568418320">
    <w:abstractNumId w:val="4"/>
  </w:num>
  <w:num w:numId="6" w16cid:durableId="14897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7E"/>
    <w:rsid w:val="0000576E"/>
    <w:rsid w:val="000158D0"/>
    <w:rsid w:val="00033677"/>
    <w:rsid w:val="000449BF"/>
    <w:rsid w:val="00050B14"/>
    <w:rsid w:val="00051866"/>
    <w:rsid w:val="00051952"/>
    <w:rsid w:val="000C1276"/>
    <w:rsid w:val="00120457"/>
    <w:rsid w:val="0013261B"/>
    <w:rsid w:val="001364E3"/>
    <w:rsid w:val="00166257"/>
    <w:rsid w:val="00166BE2"/>
    <w:rsid w:val="00194E7A"/>
    <w:rsid w:val="001C057D"/>
    <w:rsid w:val="001C43C6"/>
    <w:rsid w:val="001C6E94"/>
    <w:rsid w:val="001F2548"/>
    <w:rsid w:val="002232CC"/>
    <w:rsid w:val="00227E01"/>
    <w:rsid w:val="0024256A"/>
    <w:rsid w:val="00250425"/>
    <w:rsid w:val="00260A23"/>
    <w:rsid w:val="002667CF"/>
    <w:rsid w:val="0028445E"/>
    <w:rsid w:val="00284B57"/>
    <w:rsid w:val="00286189"/>
    <w:rsid w:val="0030015D"/>
    <w:rsid w:val="00301589"/>
    <w:rsid w:val="00302E18"/>
    <w:rsid w:val="0031739E"/>
    <w:rsid w:val="003407DE"/>
    <w:rsid w:val="003423EC"/>
    <w:rsid w:val="003458DE"/>
    <w:rsid w:val="0034793C"/>
    <w:rsid w:val="00363921"/>
    <w:rsid w:val="00390CE2"/>
    <w:rsid w:val="003B07E4"/>
    <w:rsid w:val="003B4DD6"/>
    <w:rsid w:val="00430341"/>
    <w:rsid w:val="00433F4B"/>
    <w:rsid w:val="0044147C"/>
    <w:rsid w:val="00446038"/>
    <w:rsid w:val="00452534"/>
    <w:rsid w:val="004A1D3C"/>
    <w:rsid w:val="004A3BA9"/>
    <w:rsid w:val="004C1EFF"/>
    <w:rsid w:val="004D2D47"/>
    <w:rsid w:val="004E2043"/>
    <w:rsid w:val="0050220A"/>
    <w:rsid w:val="00527A91"/>
    <w:rsid w:val="00530FB3"/>
    <w:rsid w:val="005B52C7"/>
    <w:rsid w:val="005D5E54"/>
    <w:rsid w:val="005E431D"/>
    <w:rsid w:val="00685214"/>
    <w:rsid w:val="006A7E28"/>
    <w:rsid w:val="006C1EB3"/>
    <w:rsid w:val="006D4279"/>
    <w:rsid w:val="006E121B"/>
    <w:rsid w:val="0070536D"/>
    <w:rsid w:val="007222C0"/>
    <w:rsid w:val="00740474"/>
    <w:rsid w:val="00762A80"/>
    <w:rsid w:val="0077724E"/>
    <w:rsid w:val="007C2F5F"/>
    <w:rsid w:val="007E40A8"/>
    <w:rsid w:val="007E54B8"/>
    <w:rsid w:val="00804F18"/>
    <w:rsid w:val="00823A03"/>
    <w:rsid w:val="00823F48"/>
    <w:rsid w:val="008504BB"/>
    <w:rsid w:val="00882CC7"/>
    <w:rsid w:val="008C0DA9"/>
    <w:rsid w:val="008E007E"/>
    <w:rsid w:val="008F4A2C"/>
    <w:rsid w:val="00902191"/>
    <w:rsid w:val="00925DDE"/>
    <w:rsid w:val="00934CB1"/>
    <w:rsid w:val="00977101"/>
    <w:rsid w:val="00985082"/>
    <w:rsid w:val="009C0497"/>
    <w:rsid w:val="00A11879"/>
    <w:rsid w:val="00A127D8"/>
    <w:rsid w:val="00A31147"/>
    <w:rsid w:val="00A37E91"/>
    <w:rsid w:val="00A46AED"/>
    <w:rsid w:val="00A76F21"/>
    <w:rsid w:val="00A96142"/>
    <w:rsid w:val="00AC1CA9"/>
    <w:rsid w:val="00AE45AC"/>
    <w:rsid w:val="00AF54E1"/>
    <w:rsid w:val="00B051C7"/>
    <w:rsid w:val="00B14AB5"/>
    <w:rsid w:val="00B225B8"/>
    <w:rsid w:val="00B5071F"/>
    <w:rsid w:val="00BE09E6"/>
    <w:rsid w:val="00C26915"/>
    <w:rsid w:val="00C54E12"/>
    <w:rsid w:val="00C62E17"/>
    <w:rsid w:val="00C80020"/>
    <w:rsid w:val="00C95047"/>
    <w:rsid w:val="00CB00D4"/>
    <w:rsid w:val="00CB382E"/>
    <w:rsid w:val="00CB7376"/>
    <w:rsid w:val="00CD1347"/>
    <w:rsid w:val="00CF7882"/>
    <w:rsid w:val="00D25F55"/>
    <w:rsid w:val="00D51CC8"/>
    <w:rsid w:val="00D5393A"/>
    <w:rsid w:val="00D63D54"/>
    <w:rsid w:val="00D66239"/>
    <w:rsid w:val="00D76C31"/>
    <w:rsid w:val="00D948DF"/>
    <w:rsid w:val="00DC7048"/>
    <w:rsid w:val="00DD6520"/>
    <w:rsid w:val="00DF4365"/>
    <w:rsid w:val="00E2539A"/>
    <w:rsid w:val="00E518F4"/>
    <w:rsid w:val="00E752E3"/>
    <w:rsid w:val="00E9349D"/>
    <w:rsid w:val="00EC4520"/>
    <w:rsid w:val="00F34F6F"/>
    <w:rsid w:val="00F37CF3"/>
    <w:rsid w:val="00F87B44"/>
    <w:rsid w:val="00F92850"/>
    <w:rsid w:val="00FC23B5"/>
    <w:rsid w:val="00FC30C8"/>
    <w:rsid w:val="00FC388B"/>
    <w:rsid w:val="00FC743F"/>
    <w:rsid w:val="00FF5518"/>
    <w:rsid w:val="028528FE"/>
    <w:rsid w:val="02E44469"/>
    <w:rsid w:val="02F71D6F"/>
    <w:rsid w:val="031141EB"/>
    <w:rsid w:val="03BAB11A"/>
    <w:rsid w:val="04E82377"/>
    <w:rsid w:val="04EB18CF"/>
    <w:rsid w:val="05D656C4"/>
    <w:rsid w:val="061B4DB3"/>
    <w:rsid w:val="08B397DB"/>
    <w:rsid w:val="08C8691F"/>
    <w:rsid w:val="09F903A5"/>
    <w:rsid w:val="0A2E5354"/>
    <w:rsid w:val="0AB74418"/>
    <w:rsid w:val="0ADA2A00"/>
    <w:rsid w:val="0B199149"/>
    <w:rsid w:val="0C228B22"/>
    <w:rsid w:val="0C2A77AD"/>
    <w:rsid w:val="0C914DCD"/>
    <w:rsid w:val="0DCC3C5B"/>
    <w:rsid w:val="0E0BA3A4"/>
    <w:rsid w:val="0E7FC324"/>
    <w:rsid w:val="0F9B5995"/>
    <w:rsid w:val="0FE57A88"/>
    <w:rsid w:val="10599A08"/>
    <w:rsid w:val="11F9CB1F"/>
    <w:rsid w:val="12484230"/>
    <w:rsid w:val="16BDC7D3"/>
    <w:rsid w:val="1729307F"/>
    <w:rsid w:val="17BBA260"/>
    <w:rsid w:val="1822821D"/>
    <w:rsid w:val="196AE33F"/>
    <w:rsid w:val="1A1B42DA"/>
    <w:rsid w:val="1A1E6A08"/>
    <w:rsid w:val="1A68BDCC"/>
    <w:rsid w:val="1ADAB23D"/>
    <w:rsid w:val="1AF1E161"/>
    <w:rsid w:val="1B44BA23"/>
    <w:rsid w:val="1B53FBC1"/>
    <w:rsid w:val="1D5AD027"/>
    <w:rsid w:val="1FA69B7C"/>
    <w:rsid w:val="2002C18F"/>
    <w:rsid w:val="20BDDAD4"/>
    <w:rsid w:val="222C490C"/>
    <w:rsid w:val="2474AFCA"/>
    <w:rsid w:val="24A17A7B"/>
    <w:rsid w:val="2532F03D"/>
    <w:rsid w:val="255CC691"/>
    <w:rsid w:val="25A5177F"/>
    <w:rsid w:val="26785C07"/>
    <w:rsid w:val="270CC721"/>
    <w:rsid w:val="2766C225"/>
    <w:rsid w:val="283D2ED6"/>
    <w:rsid w:val="29286CCB"/>
    <w:rsid w:val="29DD5FED"/>
    <w:rsid w:val="2A58D480"/>
    <w:rsid w:val="2A590751"/>
    <w:rsid w:val="2B591785"/>
    <w:rsid w:val="2CC42126"/>
    <w:rsid w:val="2D4B19AC"/>
    <w:rsid w:val="2E4BF6BB"/>
    <w:rsid w:val="2E6BA750"/>
    <w:rsid w:val="2EF7C03D"/>
    <w:rsid w:val="2FB63381"/>
    <w:rsid w:val="300FFBB4"/>
    <w:rsid w:val="30102E85"/>
    <w:rsid w:val="311398B8"/>
    <w:rsid w:val="315DB9AB"/>
    <w:rsid w:val="32A845DC"/>
    <w:rsid w:val="32D5435E"/>
    <w:rsid w:val="33ABB00F"/>
    <w:rsid w:val="33D58663"/>
    <w:rsid w:val="34AF1A42"/>
    <w:rsid w:val="3641CF28"/>
    <w:rsid w:val="3725B80A"/>
    <w:rsid w:val="3882EA70"/>
    <w:rsid w:val="3A0A4E34"/>
    <w:rsid w:val="3B3AB5E9"/>
    <w:rsid w:val="3B51E50D"/>
    <w:rsid w:val="3C52F160"/>
    <w:rsid w:val="3CE46722"/>
    <w:rsid w:val="3D2BBBF1"/>
    <w:rsid w:val="3D5853D1"/>
    <w:rsid w:val="3D6D58E1"/>
    <w:rsid w:val="3DE9C993"/>
    <w:rsid w:val="3E16C715"/>
    <w:rsid w:val="3EA611C8"/>
    <w:rsid w:val="3EEB08B7"/>
    <w:rsid w:val="401D9B7B"/>
    <w:rsid w:val="41F54750"/>
    <w:rsid w:val="42A11DFC"/>
    <w:rsid w:val="440FF0DB"/>
    <w:rsid w:val="44131809"/>
    <w:rsid w:val="4440158B"/>
    <w:rsid w:val="446E1027"/>
    <w:rsid w:val="44B30716"/>
    <w:rsid w:val="44CF603E"/>
    <w:rsid w:val="457E5F13"/>
    <w:rsid w:val="4631E5DC"/>
    <w:rsid w:val="46D85FB3"/>
    <w:rsid w:val="477FA3D3"/>
    <w:rsid w:val="4838BA42"/>
    <w:rsid w:val="48850644"/>
    <w:rsid w:val="499B497D"/>
    <w:rsid w:val="49B56DF9"/>
    <w:rsid w:val="4A8BDAAA"/>
    <w:rsid w:val="4B77189F"/>
    <w:rsid w:val="4BBA1750"/>
    <w:rsid w:val="4BE93FE1"/>
    <w:rsid w:val="4C7A82D2"/>
    <w:rsid w:val="4D2F75F4"/>
    <w:rsid w:val="4EC358CF"/>
    <w:rsid w:val="4EDB523C"/>
    <w:rsid w:val="4F57C3E9"/>
    <w:rsid w:val="4F9992AF"/>
    <w:rsid w:val="50140C1E"/>
    <w:rsid w:val="5016372D"/>
    <w:rsid w:val="50882B9E"/>
    <w:rsid w:val="50E750A6"/>
    <w:rsid w:val="51EABAD9"/>
    <w:rsid w:val="52C6B730"/>
    <w:rsid w:val="54706869"/>
    <w:rsid w:val="54AFCFB2"/>
    <w:rsid w:val="55FA5BE3"/>
    <w:rsid w:val="57279C6A"/>
    <w:rsid w:val="57289889"/>
    <w:rsid w:val="573FC7AD"/>
    <w:rsid w:val="57BA0E4B"/>
    <w:rsid w:val="59883903"/>
    <w:rsid w:val="5993E52F"/>
    <w:rsid w:val="5A49D375"/>
    <w:rsid w:val="5A77CE11"/>
    <w:rsid w:val="5BF6ACD7"/>
    <w:rsid w:val="5C85F78A"/>
    <w:rsid w:val="5D61F3E1"/>
    <w:rsid w:val="5DD083BB"/>
    <w:rsid w:val="5E749FB2"/>
    <w:rsid w:val="5F7809E5"/>
    <w:rsid w:val="5FA50767"/>
    <w:rsid w:val="5FBF2BE3"/>
    <w:rsid w:val="610CE9DA"/>
    <w:rsid w:val="613BDF9A"/>
    <w:rsid w:val="6168DD1C"/>
    <w:rsid w:val="61E8E631"/>
    <w:rsid w:val="61F2FDCB"/>
    <w:rsid w:val="62961DA3"/>
    <w:rsid w:val="633933DE"/>
    <w:rsid w:val="63B4A871"/>
    <w:rsid w:val="6470F0A6"/>
    <w:rsid w:val="64A01937"/>
    <w:rsid w:val="65026668"/>
    <w:rsid w:val="65A945E1"/>
    <w:rsid w:val="65E64F4A"/>
    <w:rsid w:val="66A6ED9D"/>
    <w:rsid w:val="674E31BD"/>
    <w:rsid w:val="678813F8"/>
    <w:rsid w:val="67C0262E"/>
    <w:rsid w:val="68CAE574"/>
    <w:rsid w:val="6998FFF8"/>
    <w:rsid w:val="6A127C4D"/>
    <w:rsid w:val="6A6F6CA9"/>
    <w:rsid w:val="6B18DBD8"/>
    <w:rsid w:val="6BA8268B"/>
    <w:rsid w:val="6C191DE2"/>
    <w:rsid w:val="6C49438D"/>
    <w:rsid w:val="6C72E710"/>
    <w:rsid w:val="6D078400"/>
    <w:rsid w:val="6DC07236"/>
    <w:rsid w:val="6F0B3138"/>
    <w:rsid w:val="6F0C2D57"/>
    <w:rsid w:val="70818BFB"/>
    <w:rsid w:val="724ABE85"/>
    <w:rsid w:val="73684D34"/>
    <w:rsid w:val="73931FA7"/>
    <w:rsid w:val="73DA41A5"/>
    <w:rsid w:val="74249569"/>
    <w:rsid w:val="748088AB"/>
    <w:rsid w:val="759BEC4B"/>
    <w:rsid w:val="75AEC551"/>
    <w:rsid w:val="7618CD37"/>
    <w:rsid w:val="76403B13"/>
    <w:rsid w:val="76878FE2"/>
    <w:rsid w:val="769C2F50"/>
    <w:rsid w:val="76B45A93"/>
    <w:rsid w:val="76C92CD2"/>
    <w:rsid w:val="7716A7C4"/>
    <w:rsid w:val="7727194D"/>
    <w:rsid w:val="78760539"/>
    <w:rsid w:val="7979A23D"/>
    <w:rsid w:val="7A7AAE90"/>
    <w:rsid w:val="7B801101"/>
    <w:rsid w:val="7BE29103"/>
    <w:rsid w:val="7C548574"/>
    <w:rsid w:val="7C56B083"/>
    <w:rsid w:val="7CE5FB36"/>
    <w:rsid w:val="7E21FC94"/>
    <w:rsid w:val="7F199A4D"/>
    <w:rsid w:val="7FA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442D7"/>
  <w15:chartTrackingRefBased/>
  <w15:docId w15:val="{1DFF8B6E-6987-4B13-9F56-B648293D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00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0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C8"/>
  </w:style>
  <w:style w:type="paragraph" w:styleId="Footer">
    <w:name w:val="footer"/>
    <w:basedOn w:val="Normal"/>
    <w:link w:val="FooterChar"/>
    <w:uiPriority w:val="99"/>
    <w:unhideWhenUsed/>
    <w:rsid w:val="00F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C8"/>
  </w:style>
  <w:style w:type="character" w:styleId="CommentReference">
    <w:name w:val="annotation reference"/>
    <w:basedOn w:val="DefaultParagraphFont"/>
    <w:uiPriority w:val="99"/>
    <w:semiHidden/>
    <w:unhideWhenUsed/>
    <w:rsid w:val="00AC1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C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CD9DCACFA664FBE3E63284CCC512D" ma:contentTypeVersion="14" ma:contentTypeDescription="Create a new document." ma:contentTypeScope="" ma:versionID="5abc0d127c77217fb161189c5e73b1a1">
  <xsd:schema xmlns:xsd="http://www.w3.org/2001/XMLSchema" xmlns:xs="http://www.w3.org/2001/XMLSchema" xmlns:p="http://schemas.microsoft.com/office/2006/metadata/properties" xmlns:ns2="04cf6382-ddcb-460d-a212-8dc03ad9c820" xmlns:ns3="c7a8b97a-b933-4453-aa8b-1fe340e55328" targetNamespace="http://schemas.microsoft.com/office/2006/metadata/properties" ma:root="true" ma:fieldsID="8c37ce678e8461a7129b606da481582c" ns2:_="" ns3:_="">
    <xsd:import namespace="04cf6382-ddcb-460d-a212-8dc03ad9c820"/>
    <xsd:import namespace="c7a8b97a-b933-4453-aa8b-1fe340e55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f6382-ddcb-460d-a212-8dc03ad9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8b97a-b933-4453-aa8b-1fe340e55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cf6382-ddcb-460d-a212-8dc03ad9c820" xsi:nil="true"/>
  </documentManagement>
</p:properties>
</file>

<file path=customXml/itemProps1.xml><?xml version="1.0" encoding="utf-8"?>
<ds:datastoreItem xmlns:ds="http://schemas.openxmlformats.org/officeDocument/2006/customXml" ds:itemID="{31BF8D03-7BC1-47A6-8971-EE43AED5F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6DF42-7D1C-43AF-9FF8-EEB6C05F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f6382-ddcb-460d-a212-8dc03ad9c820"/>
    <ds:schemaRef ds:uri="c7a8b97a-b933-4453-aa8b-1fe340e55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06B8-8A89-479C-8E1B-5021726699AB}">
  <ds:schemaRefs>
    <ds:schemaRef ds:uri="http://schemas.microsoft.com/office/2006/metadata/properties"/>
    <ds:schemaRef ds:uri="http://schemas.microsoft.com/office/infopath/2007/PartnerControls"/>
    <ds:schemaRef ds:uri="04cf6382-ddcb-460d-a212-8dc03ad9c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Walker</dc:creator>
  <cp:keywords/>
  <dc:description/>
  <cp:lastModifiedBy>Jill Edmonds</cp:lastModifiedBy>
  <cp:revision>75</cp:revision>
  <dcterms:created xsi:type="dcterms:W3CDTF">2022-08-23T20:43:00Z</dcterms:created>
  <dcterms:modified xsi:type="dcterms:W3CDTF">2022-09-01T22:21:00Z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0x010100A3CCD9DCACFA664FBE3E63284CCC512D</vt:lpwstr>
  </property>
  <property fmtid="{D5CDD505-2E9C-101B-9397-08002B2CF9AE}" pid="3" name="MediaServiceImageTags">
    <vt:lpwstr/>
  </property>
</Properties>
</file>