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94E8" w14:textId="2FD55A38" w:rsidR="001E246F" w:rsidRPr="004C3916" w:rsidRDefault="00B75123" w:rsidP="001E246F">
      <w:pPr>
        <w:rPr>
          <w:rFonts w:ascii="Arial" w:eastAsia="Verdana" w:hAnsi="Arial" w:cs="Arial"/>
          <w:bCs/>
          <w:sz w:val="20"/>
          <w:szCs w:val="20"/>
        </w:rPr>
      </w:pPr>
      <w:r>
        <w:rPr>
          <w:rFonts w:ascii="Arial" w:eastAsia="Verdana" w:hAnsi="Arial" w:cs="Arial"/>
          <w:bCs/>
          <w:sz w:val="20"/>
          <w:szCs w:val="20"/>
        </w:rPr>
        <w:t xml:space="preserve">March </w:t>
      </w:r>
      <w:r w:rsidR="00963440">
        <w:rPr>
          <w:rFonts w:ascii="Arial" w:eastAsia="Verdana" w:hAnsi="Arial" w:cs="Arial"/>
          <w:bCs/>
          <w:sz w:val="20"/>
          <w:szCs w:val="20"/>
        </w:rPr>
        <w:t>31</w:t>
      </w:r>
      <w:r>
        <w:rPr>
          <w:rFonts w:ascii="Arial" w:eastAsia="Verdana" w:hAnsi="Arial" w:cs="Arial"/>
          <w:bCs/>
          <w:sz w:val="20"/>
          <w:szCs w:val="20"/>
        </w:rPr>
        <w:t>, 2025</w:t>
      </w:r>
    </w:p>
    <w:p w14:paraId="50D560B2" w14:textId="77777777" w:rsidR="001E246F" w:rsidRPr="004C3916" w:rsidRDefault="001E246F" w:rsidP="001E246F">
      <w:pPr>
        <w:rPr>
          <w:rFonts w:ascii="Arial" w:eastAsia="Verdana" w:hAnsi="Arial" w:cs="Arial"/>
          <w:bCs/>
          <w:sz w:val="20"/>
          <w:szCs w:val="20"/>
        </w:rPr>
      </w:pPr>
    </w:p>
    <w:p w14:paraId="4C5B459D" w14:textId="2294DBB5" w:rsidR="001E246F" w:rsidRDefault="00B75123" w:rsidP="001E246F">
      <w:pPr>
        <w:rPr>
          <w:rFonts w:ascii="Arial" w:eastAsia="Verdana" w:hAnsi="Arial" w:cs="Arial"/>
          <w:bCs/>
          <w:sz w:val="20"/>
          <w:szCs w:val="20"/>
        </w:rPr>
      </w:pPr>
      <w:r>
        <w:rPr>
          <w:rFonts w:ascii="Arial" w:eastAsia="Verdana" w:hAnsi="Arial" w:cs="Arial"/>
          <w:bCs/>
          <w:sz w:val="20"/>
          <w:szCs w:val="20"/>
        </w:rPr>
        <w:t>Technical Director</w:t>
      </w:r>
    </w:p>
    <w:p w14:paraId="5517AFF7" w14:textId="0E997847" w:rsidR="00B75123" w:rsidRDefault="00B75123" w:rsidP="001E246F">
      <w:pPr>
        <w:rPr>
          <w:rFonts w:ascii="Arial" w:eastAsia="Verdana" w:hAnsi="Arial" w:cs="Arial"/>
          <w:bCs/>
          <w:sz w:val="20"/>
          <w:szCs w:val="20"/>
        </w:rPr>
      </w:pPr>
      <w:r>
        <w:rPr>
          <w:rFonts w:ascii="Arial" w:eastAsia="Verdana" w:hAnsi="Arial" w:cs="Arial"/>
          <w:bCs/>
          <w:sz w:val="20"/>
          <w:szCs w:val="20"/>
        </w:rPr>
        <w:t>Financial Accounting Standards Board</w:t>
      </w:r>
    </w:p>
    <w:p w14:paraId="344E2A5A" w14:textId="37633FCE" w:rsidR="00B75123" w:rsidRDefault="00B75123" w:rsidP="001E246F">
      <w:pPr>
        <w:rPr>
          <w:rFonts w:ascii="Arial" w:eastAsia="Verdana" w:hAnsi="Arial" w:cs="Arial"/>
          <w:bCs/>
          <w:sz w:val="20"/>
          <w:szCs w:val="20"/>
        </w:rPr>
      </w:pPr>
      <w:r>
        <w:rPr>
          <w:rFonts w:ascii="Arial" w:eastAsia="Verdana" w:hAnsi="Arial" w:cs="Arial"/>
          <w:bCs/>
          <w:sz w:val="20"/>
          <w:szCs w:val="20"/>
        </w:rPr>
        <w:t>801 Main Ave.</w:t>
      </w:r>
    </w:p>
    <w:p w14:paraId="37E54EC2" w14:textId="7B6D3A16" w:rsidR="00B75123" w:rsidRDefault="00B75123" w:rsidP="001E246F">
      <w:pPr>
        <w:rPr>
          <w:rFonts w:ascii="Arial" w:eastAsia="Verdana" w:hAnsi="Arial" w:cs="Arial"/>
          <w:bCs/>
          <w:sz w:val="20"/>
          <w:szCs w:val="20"/>
        </w:rPr>
      </w:pPr>
      <w:r>
        <w:rPr>
          <w:rFonts w:ascii="Arial" w:eastAsia="Verdana" w:hAnsi="Arial" w:cs="Arial"/>
          <w:bCs/>
          <w:sz w:val="20"/>
          <w:szCs w:val="20"/>
        </w:rPr>
        <w:t>PO Box 5116</w:t>
      </w:r>
    </w:p>
    <w:p w14:paraId="2F802308" w14:textId="2EC71F2C" w:rsidR="00B75123" w:rsidRPr="004C3916" w:rsidRDefault="00B75123" w:rsidP="001E246F">
      <w:pPr>
        <w:rPr>
          <w:rFonts w:ascii="Arial" w:eastAsia="Verdana" w:hAnsi="Arial" w:cs="Arial"/>
          <w:bCs/>
          <w:sz w:val="20"/>
          <w:szCs w:val="20"/>
        </w:rPr>
      </w:pPr>
      <w:r>
        <w:rPr>
          <w:rFonts w:ascii="Arial" w:eastAsia="Verdana" w:hAnsi="Arial" w:cs="Arial"/>
          <w:bCs/>
          <w:sz w:val="20"/>
          <w:szCs w:val="20"/>
        </w:rPr>
        <w:t>Norwalk, CT 06856-5116</w:t>
      </w:r>
    </w:p>
    <w:p w14:paraId="648A6B21" w14:textId="77777777" w:rsidR="001E246F" w:rsidRPr="004C3916" w:rsidRDefault="001E246F" w:rsidP="001E246F">
      <w:pPr>
        <w:rPr>
          <w:rFonts w:ascii="Arial" w:eastAsia="Verdana" w:hAnsi="Arial" w:cs="Arial"/>
          <w:bCs/>
          <w:sz w:val="20"/>
          <w:szCs w:val="20"/>
        </w:rPr>
      </w:pPr>
    </w:p>
    <w:p w14:paraId="2D3CBBB0" w14:textId="778C4165" w:rsidR="001E246F" w:rsidRPr="004C3916" w:rsidRDefault="001E246F" w:rsidP="001E246F">
      <w:pPr>
        <w:rPr>
          <w:rFonts w:ascii="Arial" w:eastAsia="Verdana" w:hAnsi="Arial" w:cs="Arial"/>
          <w:b/>
          <w:sz w:val="20"/>
          <w:szCs w:val="20"/>
        </w:rPr>
      </w:pPr>
      <w:r w:rsidRPr="004C3916">
        <w:rPr>
          <w:rFonts w:ascii="Arial" w:eastAsia="Verdana" w:hAnsi="Arial" w:cs="Arial"/>
          <w:b/>
          <w:sz w:val="20"/>
          <w:szCs w:val="20"/>
        </w:rPr>
        <w:t xml:space="preserve">Sent via email to </w:t>
      </w:r>
      <w:hyperlink r:id="rId10" w:history="1">
        <w:r w:rsidR="00B75123" w:rsidRPr="00535941">
          <w:rPr>
            <w:rStyle w:val="Hyperlink"/>
            <w:rFonts w:ascii="Arial" w:hAnsi="Arial" w:cs="Arial"/>
            <w:sz w:val="20"/>
            <w:szCs w:val="20"/>
          </w:rPr>
          <w:t>director@fasb.org</w:t>
        </w:r>
      </w:hyperlink>
      <w:r w:rsidR="00B75123">
        <w:rPr>
          <w:rFonts w:ascii="Arial" w:hAnsi="Arial" w:cs="Arial"/>
          <w:sz w:val="20"/>
          <w:szCs w:val="20"/>
        </w:rPr>
        <w:t xml:space="preserve"> </w:t>
      </w:r>
    </w:p>
    <w:p w14:paraId="739BEC1C" w14:textId="77777777" w:rsidR="004C3916" w:rsidRPr="004C3916" w:rsidRDefault="004C3916" w:rsidP="001E246F">
      <w:pPr>
        <w:rPr>
          <w:rFonts w:ascii="Arial" w:eastAsia="Verdana" w:hAnsi="Arial" w:cs="Arial"/>
          <w:b/>
          <w:sz w:val="20"/>
          <w:szCs w:val="20"/>
        </w:rPr>
      </w:pPr>
    </w:p>
    <w:p w14:paraId="0DF91B98" w14:textId="004F91BC" w:rsidR="001E246F" w:rsidRPr="004C3916" w:rsidRDefault="004C3916" w:rsidP="001E246F">
      <w:pPr>
        <w:rPr>
          <w:rFonts w:ascii="Arial" w:eastAsia="Verdana" w:hAnsi="Arial" w:cs="Arial"/>
          <w:b/>
          <w:sz w:val="20"/>
          <w:szCs w:val="20"/>
        </w:rPr>
      </w:pPr>
      <w:r w:rsidRPr="004C3916">
        <w:rPr>
          <w:rFonts w:ascii="Arial" w:eastAsia="Verdana" w:hAnsi="Arial" w:cs="Arial"/>
          <w:b/>
          <w:sz w:val="20"/>
          <w:szCs w:val="20"/>
        </w:rPr>
        <w:t xml:space="preserve">RE: </w:t>
      </w:r>
      <w:r w:rsidR="00B75123">
        <w:rPr>
          <w:rFonts w:ascii="Arial" w:eastAsia="Verdana" w:hAnsi="Arial" w:cs="Arial"/>
          <w:b/>
          <w:sz w:val="20"/>
          <w:szCs w:val="20"/>
        </w:rPr>
        <w:t>File Reference No 2024-EF600</w:t>
      </w:r>
    </w:p>
    <w:p w14:paraId="28A442BA" w14:textId="77777777" w:rsidR="001E246F" w:rsidRPr="004C3916" w:rsidRDefault="001E246F" w:rsidP="001E246F">
      <w:pPr>
        <w:rPr>
          <w:rFonts w:ascii="Arial" w:eastAsia="Verdana" w:hAnsi="Arial" w:cs="Arial"/>
          <w:bCs/>
          <w:sz w:val="20"/>
          <w:szCs w:val="20"/>
        </w:rPr>
      </w:pPr>
    </w:p>
    <w:p w14:paraId="40A0AF5D" w14:textId="10EBA6B7" w:rsidR="001E246F" w:rsidRPr="004C3916" w:rsidRDefault="001E246F" w:rsidP="001E246F">
      <w:pPr>
        <w:rPr>
          <w:rFonts w:ascii="Arial" w:eastAsia="Verdana" w:hAnsi="Arial" w:cs="Arial"/>
          <w:bCs/>
          <w:sz w:val="20"/>
          <w:szCs w:val="20"/>
        </w:rPr>
      </w:pPr>
      <w:r w:rsidRPr="004C3916">
        <w:rPr>
          <w:rFonts w:ascii="Arial" w:eastAsia="Verdana" w:hAnsi="Arial" w:cs="Arial"/>
          <w:bCs/>
          <w:sz w:val="20"/>
          <w:szCs w:val="20"/>
        </w:rPr>
        <w:t xml:space="preserve">Dear </w:t>
      </w:r>
      <w:r w:rsidR="00B75123">
        <w:rPr>
          <w:rFonts w:ascii="Arial" w:eastAsia="Verdana" w:hAnsi="Arial" w:cs="Arial"/>
          <w:bCs/>
          <w:sz w:val="20"/>
          <w:szCs w:val="20"/>
        </w:rPr>
        <w:t>Director Day</w:t>
      </w:r>
      <w:r w:rsidRPr="004C3916">
        <w:rPr>
          <w:rFonts w:ascii="Arial" w:eastAsia="Verdana" w:hAnsi="Arial" w:cs="Arial"/>
          <w:bCs/>
          <w:sz w:val="20"/>
          <w:szCs w:val="20"/>
        </w:rPr>
        <w:t>:</w:t>
      </w:r>
    </w:p>
    <w:p w14:paraId="6F745BCC" w14:textId="77777777" w:rsidR="001E246F" w:rsidRPr="004C3916" w:rsidRDefault="001E246F" w:rsidP="001E246F">
      <w:pPr>
        <w:rPr>
          <w:rFonts w:ascii="Arial" w:eastAsia="Verdana" w:hAnsi="Arial" w:cs="Arial"/>
          <w:bCs/>
          <w:sz w:val="20"/>
          <w:szCs w:val="20"/>
        </w:rPr>
      </w:pPr>
    </w:p>
    <w:p w14:paraId="5DF29938" w14:textId="0025C1EB" w:rsidR="001E246F" w:rsidRPr="004C3916" w:rsidRDefault="001E246F" w:rsidP="001E246F">
      <w:pPr>
        <w:rPr>
          <w:rFonts w:ascii="Arial" w:eastAsia="Verdana" w:hAnsi="Arial" w:cs="Arial"/>
          <w:sz w:val="20"/>
          <w:szCs w:val="20"/>
        </w:rPr>
      </w:pPr>
      <w:r w:rsidRPr="004C3916">
        <w:rPr>
          <w:rFonts w:ascii="Arial" w:eastAsia="Verdana" w:hAnsi="Arial" w:cs="Arial"/>
          <w:sz w:val="20"/>
          <w:szCs w:val="20"/>
        </w:rPr>
        <w:t xml:space="preserve">The Virginia Society of CPAs (VSCPA) Accounting &amp; Auditing Advisory Committee has reviewed the Exposure Draft (ED) — </w:t>
      </w:r>
      <w:r w:rsidR="00B75123">
        <w:rPr>
          <w:rFonts w:ascii="Arial" w:eastAsia="Verdana" w:hAnsi="Arial" w:cs="Arial"/>
          <w:bCs/>
          <w:i/>
          <w:iCs/>
          <w:sz w:val="20"/>
          <w:szCs w:val="20"/>
        </w:rPr>
        <w:t>Proposed Accounting Standards Update, Interim Reporting (Topic 270)</w:t>
      </w:r>
      <w:r w:rsidRPr="004C3916">
        <w:rPr>
          <w:rFonts w:ascii="Arial" w:eastAsia="Verdana" w:hAnsi="Arial" w:cs="Arial"/>
          <w:bCs/>
          <w:sz w:val="20"/>
          <w:szCs w:val="20"/>
        </w:rPr>
        <w:t xml:space="preserve">, issued by the </w:t>
      </w:r>
      <w:r w:rsidR="00B75123">
        <w:rPr>
          <w:rFonts w:ascii="Arial" w:eastAsia="Verdana" w:hAnsi="Arial" w:cs="Arial"/>
          <w:bCs/>
          <w:sz w:val="20"/>
          <w:szCs w:val="20"/>
        </w:rPr>
        <w:t>Federal Accounting Standards Board</w:t>
      </w:r>
      <w:r w:rsidRPr="004C3916">
        <w:rPr>
          <w:rFonts w:ascii="Arial" w:eastAsia="Verdana" w:hAnsi="Arial" w:cs="Arial"/>
          <w:bCs/>
          <w:sz w:val="20"/>
          <w:szCs w:val="20"/>
        </w:rPr>
        <w:t>.</w:t>
      </w:r>
      <w:r w:rsidRPr="004C3916">
        <w:rPr>
          <w:rFonts w:ascii="Arial" w:eastAsia="Verdana" w:hAnsi="Arial" w:cs="Arial"/>
          <w:sz w:val="20"/>
          <w:szCs w:val="20"/>
        </w:rPr>
        <w:t xml:space="preserve"> The VSCPA is the leading professional association in Virginia dedicated to enhancing the success of all CPAs and their profession by communicating information and vision, promoting professionalism, and advocating members’ interests. The VSCPA membership consists of </w:t>
      </w:r>
      <w:r w:rsidR="00D4715B">
        <w:rPr>
          <w:rFonts w:ascii="Arial" w:eastAsia="Verdana" w:hAnsi="Arial" w:cs="Arial"/>
          <w:sz w:val="20"/>
          <w:szCs w:val="20"/>
        </w:rPr>
        <w:t>nearly</w:t>
      </w:r>
      <w:r w:rsidRPr="004C3916">
        <w:rPr>
          <w:rFonts w:ascii="Arial" w:eastAsia="Verdana" w:hAnsi="Arial" w:cs="Arial"/>
          <w:sz w:val="20"/>
          <w:szCs w:val="20"/>
        </w:rPr>
        <w:t xml:space="preserve"> 1</w:t>
      </w:r>
      <w:r w:rsidR="00963440">
        <w:rPr>
          <w:rFonts w:ascii="Arial" w:eastAsia="Verdana" w:hAnsi="Arial" w:cs="Arial"/>
          <w:sz w:val="20"/>
          <w:szCs w:val="20"/>
        </w:rPr>
        <w:t>2</w:t>
      </w:r>
      <w:r w:rsidRPr="004C3916">
        <w:rPr>
          <w:rFonts w:ascii="Arial" w:eastAsia="Verdana" w:hAnsi="Arial" w:cs="Arial"/>
          <w:sz w:val="20"/>
          <w:szCs w:val="20"/>
        </w:rPr>
        <w:t>,000 individual members who actively work in public accounting, private industry, government, and education.</w:t>
      </w:r>
    </w:p>
    <w:p w14:paraId="3EECD9C7" w14:textId="77777777" w:rsidR="001E246F" w:rsidRPr="004C3916" w:rsidRDefault="001E246F" w:rsidP="001E246F">
      <w:pPr>
        <w:rPr>
          <w:rFonts w:ascii="Arial" w:eastAsia="Verdana" w:hAnsi="Arial" w:cs="Arial"/>
          <w:sz w:val="20"/>
          <w:szCs w:val="20"/>
        </w:rPr>
      </w:pPr>
    </w:p>
    <w:p w14:paraId="7BC2A55C" w14:textId="6E27B373" w:rsidR="001E246F" w:rsidRDefault="00B75123" w:rsidP="001E246F">
      <w:pPr>
        <w:rPr>
          <w:rFonts w:ascii="Arial" w:eastAsia="Verdana" w:hAnsi="Arial" w:cs="Arial"/>
          <w:sz w:val="20"/>
          <w:szCs w:val="20"/>
        </w:rPr>
      </w:pPr>
      <w:r>
        <w:rPr>
          <w:rFonts w:ascii="Arial" w:eastAsia="Verdana" w:hAnsi="Arial" w:cs="Arial"/>
          <w:sz w:val="20"/>
          <w:szCs w:val="20"/>
        </w:rPr>
        <w:t xml:space="preserve">Overall, we are supportive of the Board’s direction with this exposure draft. We offer the following comments </w:t>
      </w:r>
      <w:r w:rsidR="00BD3F2F">
        <w:rPr>
          <w:rFonts w:ascii="Arial" w:eastAsia="Verdana" w:hAnsi="Arial" w:cs="Arial"/>
          <w:sz w:val="20"/>
          <w:szCs w:val="20"/>
        </w:rPr>
        <w:t xml:space="preserve">to your questions </w:t>
      </w:r>
      <w:r>
        <w:rPr>
          <w:rFonts w:ascii="Arial" w:eastAsia="Verdana" w:hAnsi="Arial" w:cs="Arial"/>
          <w:sz w:val="20"/>
          <w:szCs w:val="20"/>
        </w:rPr>
        <w:t>for your consideration as well.</w:t>
      </w:r>
    </w:p>
    <w:p w14:paraId="0A79AD72" w14:textId="77777777" w:rsidR="00A23F74" w:rsidRDefault="00A23F74" w:rsidP="001E246F">
      <w:pPr>
        <w:rPr>
          <w:rFonts w:ascii="Arial" w:eastAsia="Verdana" w:hAnsi="Arial" w:cs="Arial"/>
          <w:sz w:val="20"/>
          <w:szCs w:val="20"/>
        </w:rPr>
      </w:pPr>
    </w:p>
    <w:p w14:paraId="02097878" w14:textId="77777777" w:rsidR="00A23F74" w:rsidRDefault="00A23F74" w:rsidP="001E246F">
      <w:pPr>
        <w:rPr>
          <w:rFonts w:ascii="Arial" w:eastAsia="Verdana" w:hAnsi="Arial" w:cs="Arial"/>
          <w:sz w:val="20"/>
          <w:szCs w:val="20"/>
        </w:rPr>
      </w:pPr>
    </w:p>
    <w:tbl>
      <w:tblPr>
        <w:tblStyle w:val="TableGrid"/>
        <w:tblW w:w="0" w:type="auto"/>
        <w:tblLook w:val="04A0" w:firstRow="1" w:lastRow="0" w:firstColumn="1" w:lastColumn="0" w:noHBand="0" w:noVBand="1"/>
      </w:tblPr>
      <w:tblGrid>
        <w:gridCol w:w="4675"/>
        <w:gridCol w:w="4675"/>
      </w:tblGrid>
      <w:tr w:rsidR="00A23F74" w14:paraId="1AA2D6CC" w14:textId="77777777" w:rsidTr="00A23F74">
        <w:tc>
          <w:tcPr>
            <w:tcW w:w="4675" w:type="dxa"/>
          </w:tcPr>
          <w:p w14:paraId="3210EEF0" w14:textId="676F640D" w:rsidR="00A23F74" w:rsidRDefault="00A23F74" w:rsidP="00A23F74">
            <w:pPr>
              <w:jc w:val="center"/>
              <w:rPr>
                <w:rFonts w:ascii="Arial" w:eastAsia="Verdana" w:hAnsi="Arial" w:cs="Arial"/>
                <w:sz w:val="20"/>
                <w:szCs w:val="20"/>
              </w:rPr>
            </w:pPr>
            <w:r>
              <w:rPr>
                <w:rFonts w:ascii="Arial" w:eastAsia="Verdana" w:hAnsi="Arial" w:cs="Arial"/>
                <w:sz w:val="20"/>
                <w:szCs w:val="20"/>
              </w:rPr>
              <w:t>Question</w:t>
            </w:r>
          </w:p>
        </w:tc>
        <w:tc>
          <w:tcPr>
            <w:tcW w:w="4675" w:type="dxa"/>
          </w:tcPr>
          <w:p w14:paraId="4EAB3F29" w14:textId="4E37FB11" w:rsidR="00A23F74" w:rsidRDefault="00A23F74" w:rsidP="006533EB">
            <w:pPr>
              <w:jc w:val="center"/>
              <w:rPr>
                <w:rFonts w:ascii="Arial" w:eastAsia="Verdana" w:hAnsi="Arial" w:cs="Arial"/>
                <w:sz w:val="20"/>
                <w:szCs w:val="20"/>
              </w:rPr>
            </w:pPr>
            <w:r>
              <w:rPr>
                <w:rFonts w:ascii="Arial" w:eastAsia="Verdana" w:hAnsi="Arial" w:cs="Arial"/>
                <w:sz w:val="20"/>
                <w:szCs w:val="20"/>
              </w:rPr>
              <w:t>Comments</w:t>
            </w:r>
          </w:p>
        </w:tc>
      </w:tr>
      <w:tr w:rsidR="00A23F74" w14:paraId="1824C6BF" w14:textId="77777777" w:rsidTr="00A23F74">
        <w:tc>
          <w:tcPr>
            <w:tcW w:w="4675" w:type="dxa"/>
          </w:tcPr>
          <w:p w14:paraId="74170DD9" w14:textId="6996F621"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1</w:t>
            </w:r>
            <w:r w:rsidRPr="00A23F74">
              <w:rPr>
                <w:rFonts w:ascii="Arial" w:eastAsia="Verdana" w:hAnsi="Arial" w:cs="Arial"/>
                <w:sz w:val="20"/>
                <w:szCs w:val="20"/>
              </w:rPr>
              <w:t>: Do the amendments in this proposed Update that would clarify that the guidance in Topic 270 applies to interim financial statements and notes in accordance with GAAP (see paragraphs 270-10-15-3 through 15-4) increase the understandability of Topic 270? Please explain why or why not.</w:t>
            </w:r>
          </w:p>
        </w:tc>
        <w:tc>
          <w:tcPr>
            <w:tcW w:w="4675" w:type="dxa"/>
          </w:tcPr>
          <w:p w14:paraId="67A6C9B6"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We believe the guidance clarifies topic 270 as necessary. We appreciate the clarity and Board’s decision not to fundamentally change guidance on interim reporting.</w:t>
            </w:r>
          </w:p>
          <w:p w14:paraId="337B3173" w14:textId="77777777" w:rsidR="00A23F74" w:rsidRDefault="00A23F74" w:rsidP="006533EB">
            <w:pPr>
              <w:rPr>
                <w:rFonts w:ascii="Arial" w:eastAsia="Verdana" w:hAnsi="Arial" w:cs="Arial"/>
                <w:sz w:val="20"/>
                <w:szCs w:val="20"/>
              </w:rPr>
            </w:pPr>
          </w:p>
        </w:tc>
      </w:tr>
      <w:tr w:rsidR="00A23F74" w14:paraId="05468D43" w14:textId="77777777" w:rsidTr="00A23F74">
        <w:tc>
          <w:tcPr>
            <w:tcW w:w="4675" w:type="dxa"/>
          </w:tcPr>
          <w:p w14:paraId="55E9492E" w14:textId="6B7CE7C0"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2</w:t>
            </w:r>
            <w:r w:rsidRPr="00A23F74">
              <w:rPr>
                <w:rFonts w:ascii="Arial" w:eastAsia="Verdana" w:hAnsi="Arial" w:cs="Arial"/>
                <w:sz w:val="20"/>
                <w:szCs w:val="20"/>
              </w:rPr>
              <w:t>: Are the proposed amendments that describe the form and content of interim financial statements and notes in accordance with GAAP (see paragraphs 270-10-45-20 through 45-24) appropriate? Do they capture the form and content of interim financial statements and notes currently being provided in accordance with GAAP? Please explain why or why not.</w:t>
            </w:r>
          </w:p>
        </w:tc>
        <w:tc>
          <w:tcPr>
            <w:tcW w:w="4675" w:type="dxa"/>
          </w:tcPr>
          <w:p w14:paraId="6B7D9CBB"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The notes in the exposure draft do assist in the understandability of topic 270. Using a principle gives preparers and users an appropriate framework with which to make decisions.</w:t>
            </w:r>
          </w:p>
          <w:p w14:paraId="71A94199" w14:textId="77777777" w:rsidR="00A23F74" w:rsidRDefault="00A23F74" w:rsidP="006533EB">
            <w:pPr>
              <w:rPr>
                <w:rFonts w:ascii="Arial" w:eastAsia="Verdana" w:hAnsi="Arial" w:cs="Arial"/>
                <w:sz w:val="20"/>
                <w:szCs w:val="20"/>
              </w:rPr>
            </w:pPr>
          </w:p>
        </w:tc>
      </w:tr>
      <w:tr w:rsidR="00A23F74" w14:paraId="497C505E" w14:textId="77777777" w:rsidTr="00A23F74">
        <w:tc>
          <w:tcPr>
            <w:tcW w:w="4675" w:type="dxa"/>
          </w:tcPr>
          <w:p w14:paraId="7EA5EE6C" w14:textId="68A294E8"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3</w:t>
            </w:r>
            <w:r w:rsidRPr="00A23F74">
              <w:rPr>
                <w:rFonts w:ascii="Arial" w:eastAsia="Verdana" w:hAnsi="Arial" w:cs="Arial"/>
                <w:sz w:val="20"/>
                <w:szCs w:val="20"/>
              </w:rPr>
              <w:t>: Do you agree that including a list of interim disclosure requirements in Section 270-10-50 would improve the Codification? Please explain why or why not.</w:t>
            </w:r>
          </w:p>
        </w:tc>
        <w:tc>
          <w:tcPr>
            <w:tcW w:w="4675" w:type="dxa"/>
          </w:tcPr>
          <w:p w14:paraId="1286BE79"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We believe the list of requirements is clear and allows users an ability to navigate the topic well.</w:t>
            </w:r>
          </w:p>
          <w:p w14:paraId="3EB89015" w14:textId="77777777" w:rsidR="00A23F74" w:rsidRDefault="00A23F74" w:rsidP="006533EB">
            <w:pPr>
              <w:rPr>
                <w:rFonts w:ascii="Arial" w:eastAsia="Verdana" w:hAnsi="Arial" w:cs="Arial"/>
                <w:sz w:val="20"/>
                <w:szCs w:val="20"/>
              </w:rPr>
            </w:pPr>
          </w:p>
        </w:tc>
      </w:tr>
      <w:tr w:rsidR="00A23F74" w14:paraId="2B2C4B61" w14:textId="77777777" w:rsidTr="00A23F74">
        <w:tc>
          <w:tcPr>
            <w:tcW w:w="4675" w:type="dxa"/>
          </w:tcPr>
          <w:p w14:paraId="4123FEB7" w14:textId="54E1F7B9"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4</w:t>
            </w:r>
            <w:r w:rsidRPr="00A23F74">
              <w:rPr>
                <w:rFonts w:ascii="Arial" w:eastAsia="Verdana" w:hAnsi="Arial" w:cs="Arial"/>
                <w:sz w:val="20"/>
                <w:szCs w:val="20"/>
              </w:rPr>
              <w:t xml:space="preserve">: Using the Board’s methodology (see paragraphs BC42–BC55), is the proposed list of interim disclosure requirements in Section 270-10-50 complete, or are there disclosures that should be included in or excluded from the list? If so, please provide the disclosures and your rationale, </w:t>
            </w:r>
            <w:r w:rsidRPr="00A23F74">
              <w:rPr>
                <w:rFonts w:ascii="Arial" w:eastAsia="Verdana" w:hAnsi="Arial" w:cs="Arial"/>
                <w:sz w:val="20"/>
                <w:szCs w:val="20"/>
              </w:rPr>
              <w:lastRenderedPageBreak/>
              <w:t>including supporting evidence that is consistent with the Board’s methodology.</w:t>
            </w:r>
          </w:p>
        </w:tc>
        <w:tc>
          <w:tcPr>
            <w:tcW w:w="4675" w:type="dxa"/>
          </w:tcPr>
          <w:p w14:paraId="50C3A5B6"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lastRenderedPageBreak/>
              <w:t>We believe the list of requirements is complete.</w:t>
            </w:r>
          </w:p>
          <w:p w14:paraId="1CEF80C8" w14:textId="77777777" w:rsidR="00A23F74" w:rsidRDefault="00A23F74" w:rsidP="006533EB">
            <w:pPr>
              <w:rPr>
                <w:rFonts w:ascii="Arial" w:eastAsia="Verdana" w:hAnsi="Arial" w:cs="Arial"/>
                <w:sz w:val="20"/>
                <w:szCs w:val="20"/>
              </w:rPr>
            </w:pPr>
          </w:p>
        </w:tc>
      </w:tr>
      <w:tr w:rsidR="00A23F74" w14:paraId="07D94CD2" w14:textId="77777777" w:rsidTr="00A23F74">
        <w:tc>
          <w:tcPr>
            <w:tcW w:w="4675" w:type="dxa"/>
          </w:tcPr>
          <w:p w14:paraId="5D549018" w14:textId="7E0E9AB8"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5</w:t>
            </w:r>
            <w:r w:rsidRPr="00A23F74">
              <w:rPr>
                <w:rFonts w:ascii="Arial" w:eastAsia="Verdana" w:hAnsi="Arial" w:cs="Arial"/>
                <w:sz w:val="20"/>
                <w:szCs w:val="20"/>
              </w:rPr>
              <w:t>: Do you agree with the Board’s methodology on how it compiled the disclosure list in Topic 270 (see paragraphs BC42–BC55)? Please explain why or why not. If not, please describe your preferred methodology. Please identify the differences between the list of interim disclosures derived using your preferred methodology and the list of disclosures in Section 270-10-50 and provide supporting evidence that is consistent with your preferred methodology.</w:t>
            </w:r>
          </w:p>
        </w:tc>
        <w:tc>
          <w:tcPr>
            <w:tcW w:w="4675" w:type="dxa"/>
          </w:tcPr>
          <w:p w14:paraId="6433A882"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 xml:space="preserve">We agree with the methodology overall, with the exception that the Board could consider further guidance on certain disclosures either being presented on the face of the statements or in the footnotes. </w:t>
            </w:r>
          </w:p>
          <w:p w14:paraId="1028C9FB" w14:textId="77777777" w:rsidR="00A23F74" w:rsidRDefault="00A23F74" w:rsidP="006533EB">
            <w:pPr>
              <w:rPr>
                <w:rFonts w:ascii="Arial" w:eastAsia="Verdana" w:hAnsi="Arial" w:cs="Arial"/>
                <w:sz w:val="20"/>
                <w:szCs w:val="20"/>
              </w:rPr>
            </w:pPr>
          </w:p>
        </w:tc>
      </w:tr>
      <w:tr w:rsidR="00A23F74" w14:paraId="764D376F" w14:textId="77777777" w:rsidTr="00A23F74">
        <w:tc>
          <w:tcPr>
            <w:tcW w:w="4675" w:type="dxa"/>
          </w:tcPr>
          <w:p w14:paraId="09D713B0" w14:textId="62704697"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6</w:t>
            </w:r>
            <w:r w:rsidRPr="00A23F74">
              <w:rPr>
                <w:rFonts w:ascii="Arial" w:eastAsia="Verdana" w:hAnsi="Arial" w:cs="Arial"/>
                <w:sz w:val="20"/>
                <w:szCs w:val="20"/>
              </w:rPr>
              <w:t>: The Board uses the term event-driven disclosures to describe disclosures required if an event or transaction occurs (see paragraph BC65). The Board decided that while certain event-driven disclosure requirements that meet the criteria in paragraph BC46 would be included in the interim disclosure list in the proposed amendments, others would be captured by the disclosure principle discussed in Question 7 (for example, if a new line of business was acquired with specific industry disclosure requirements, the acquirer would evaluate the disclosures under the disclosure principle rather than evaluating whether those industry requirements should be disclosed in accordance with the interim disclosure list in Topic 270). Do you agree with this approach to event-driven disclosures, or should other event-driven disclosures be included in the interim disclosure list? Please explain why or why not.</w:t>
            </w:r>
          </w:p>
        </w:tc>
        <w:tc>
          <w:tcPr>
            <w:tcW w:w="4675" w:type="dxa"/>
          </w:tcPr>
          <w:p w14:paraId="6D3F0199"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The language in the exposure draft is clear that users should consider both the list of requirements and the framework to make decisions.</w:t>
            </w:r>
          </w:p>
          <w:p w14:paraId="1B1B02F5" w14:textId="77777777" w:rsidR="00A23F74" w:rsidRDefault="00A23F74" w:rsidP="006533EB">
            <w:pPr>
              <w:rPr>
                <w:rFonts w:ascii="Arial" w:eastAsia="Verdana" w:hAnsi="Arial" w:cs="Arial"/>
                <w:sz w:val="20"/>
                <w:szCs w:val="20"/>
              </w:rPr>
            </w:pPr>
          </w:p>
        </w:tc>
      </w:tr>
      <w:tr w:rsidR="00A23F74" w14:paraId="01FE2D2D" w14:textId="77777777" w:rsidTr="00A23F74">
        <w:tc>
          <w:tcPr>
            <w:tcW w:w="4675" w:type="dxa"/>
          </w:tcPr>
          <w:p w14:paraId="0B5493A4" w14:textId="11BEFEAF"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7</w:t>
            </w:r>
            <w:r w:rsidRPr="00A23F74">
              <w:rPr>
                <w:rFonts w:ascii="Arial" w:eastAsia="Verdana" w:hAnsi="Arial" w:cs="Arial"/>
                <w:sz w:val="20"/>
                <w:szCs w:val="20"/>
              </w:rPr>
              <w:t xml:space="preserve">: Is the proposed disclosure principle operable (see paragraphs 270-10-50-67 through 50-70)? Please explain why or why not. If not, did you consider the prior SEC disclosure principle included in paragraph 270-10-50- 68 to be operable (see paragraphs BC56–BC59)? Would the proposed disclosure principle provide decision-useful information? Does the operability of the disclosure principle vary between SEC registrants and </w:t>
            </w:r>
            <w:proofErr w:type="spellStart"/>
            <w:r w:rsidRPr="00A23F74">
              <w:rPr>
                <w:rFonts w:ascii="Arial" w:eastAsia="Verdana" w:hAnsi="Arial" w:cs="Arial"/>
                <w:sz w:val="20"/>
                <w:szCs w:val="20"/>
              </w:rPr>
              <w:t>nonregistrants</w:t>
            </w:r>
            <w:proofErr w:type="spellEnd"/>
            <w:r w:rsidRPr="00A23F74">
              <w:rPr>
                <w:rFonts w:ascii="Arial" w:eastAsia="Verdana" w:hAnsi="Arial" w:cs="Arial"/>
                <w:sz w:val="20"/>
                <w:szCs w:val="20"/>
              </w:rPr>
              <w:t>? Please explain why or why not. Are there any reasons why the wording in paragraphs 270-10-50-67 through 50-70 should not be incorporated into GAAP? Please explain why or why not.</w:t>
            </w:r>
          </w:p>
        </w:tc>
        <w:tc>
          <w:tcPr>
            <w:tcW w:w="4675" w:type="dxa"/>
          </w:tcPr>
          <w:p w14:paraId="55E58F67"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Yes, we believe the disclosure principle is operable.</w:t>
            </w:r>
          </w:p>
          <w:p w14:paraId="46B0A6DC" w14:textId="77777777" w:rsidR="00A23F74" w:rsidRDefault="00A23F74" w:rsidP="006533EB">
            <w:pPr>
              <w:rPr>
                <w:rFonts w:ascii="Arial" w:eastAsia="Verdana" w:hAnsi="Arial" w:cs="Arial"/>
                <w:sz w:val="20"/>
                <w:szCs w:val="20"/>
              </w:rPr>
            </w:pPr>
          </w:p>
        </w:tc>
      </w:tr>
      <w:tr w:rsidR="00A23F74" w14:paraId="09095DB6" w14:textId="77777777" w:rsidTr="00A23F74">
        <w:tc>
          <w:tcPr>
            <w:tcW w:w="4675" w:type="dxa"/>
          </w:tcPr>
          <w:p w14:paraId="0F17D65E" w14:textId="6F2A9853"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8</w:t>
            </w:r>
            <w:r w:rsidRPr="00A23F74">
              <w:rPr>
                <w:rFonts w:ascii="Arial" w:eastAsia="Verdana" w:hAnsi="Arial" w:cs="Arial"/>
                <w:sz w:val="20"/>
                <w:szCs w:val="20"/>
              </w:rPr>
              <w:t xml:space="preserve">: The Board decided to remove the phrase interim financial information from certain paragraphs that address the scope of the guidance within Topic 270 in the proposed amendments. Additionally, proposed consequential amendments were made to other Topics in certain paragraphs to remove the phrase interim financial information and other similar phrases. Would these proposed changes result in any unexpected consequences within </w:t>
            </w:r>
            <w:r w:rsidRPr="00A23F74">
              <w:rPr>
                <w:rFonts w:ascii="Arial" w:eastAsia="Verdana" w:hAnsi="Arial" w:cs="Arial"/>
                <w:sz w:val="20"/>
                <w:szCs w:val="20"/>
              </w:rPr>
              <w:lastRenderedPageBreak/>
              <w:t>other areas in GAAP? Please explain why or why not.</w:t>
            </w:r>
          </w:p>
        </w:tc>
        <w:tc>
          <w:tcPr>
            <w:tcW w:w="4675" w:type="dxa"/>
          </w:tcPr>
          <w:p w14:paraId="462E48B0"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lastRenderedPageBreak/>
              <w:t>We do not see any unexpected consequences from removing the phrase “interim financial information”.</w:t>
            </w:r>
          </w:p>
          <w:p w14:paraId="20877E6A" w14:textId="77777777" w:rsidR="00A23F74" w:rsidRDefault="00A23F74" w:rsidP="006533EB">
            <w:pPr>
              <w:rPr>
                <w:rFonts w:ascii="Arial" w:eastAsia="Verdana" w:hAnsi="Arial" w:cs="Arial"/>
                <w:sz w:val="20"/>
                <w:szCs w:val="20"/>
              </w:rPr>
            </w:pPr>
          </w:p>
        </w:tc>
      </w:tr>
      <w:tr w:rsidR="00A23F74" w14:paraId="3FC81C30" w14:textId="77777777" w:rsidTr="00A23F74">
        <w:tc>
          <w:tcPr>
            <w:tcW w:w="4675" w:type="dxa"/>
          </w:tcPr>
          <w:p w14:paraId="475CC13E" w14:textId="4BB2DB3F"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9</w:t>
            </w:r>
            <w:r w:rsidRPr="00A23F74">
              <w:rPr>
                <w:rFonts w:ascii="Arial" w:eastAsia="Verdana" w:hAnsi="Arial" w:cs="Arial"/>
                <w:sz w:val="20"/>
                <w:szCs w:val="20"/>
              </w:rPr>
              <w:t>: Do you agree with the proposed amendments in Sections B and C? If not, please explain which proposed amendment(s) you disagree with and why.</w:t>
            </w:r>
          </w:p>
        </w:tc>
        <w:tc>
          <w:tcPr>
            <w:tcW w:w="4675" w:type="dxa"/>
          </w:tcPr>
          <w:p w14:paraId="49D77006"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Yes, we agree with the proposed amendments for both section B and section C.</w:t>
            </w:r>
          </w:p>
          <w:p w14:paraId="4C6E5538" w14:textId="77777777" w:rsidR="00A23F74" w:rsidRDefault="00A23F74" w:rsidP="006533EB">
            <w:pPr>
              <w:rPr>
                <w:rFonts w:ascii="Arial" w:eastAsia="Verdana" w:hAnsi="Arial" w:cs="Arial"/>
                <w:sz w:val="20"/>
                <w:szCs w:val="20"/>
              </w:rPr>
            </w:pPr>
          </w:p>
        </w:tc>
      </w:tr>
      <w:tr w:rsidR="00A23F74" w14:paraId="1957F8D9" w14:textId="77777777" w:rsidTr="00A23F74">
        <w:tc>
          <w:tcPr>
            <w:tcW w:w="4675" w:type="dxa"/>
          </w:tcPr>
          <w:p w14:paraId="4663DA06" w14:textId="6DDBA354"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10</w:t>
            </w:r>
            <w:r w:rsidRPr="00A23F74">
              <w:rPr>
                <w:rFonts w:ascii="Arial" w:eastAsia="Verdana" w:hAnsi="Arial" w:cs="Arial"/>
                <w:sz w:val="20"/>
                <w:szCs w:val="20"/>
              </w:rPr>
              <w:t>: Do you agree that the proposed amendments should be applied prospectively to interim financial statements and notes in accordance with GAAP issued for reporting periods after the effective date? Please explain why or why not.</w:t>
            </w:r>
          </w:p>
        </w:tc>
        <w:tc>
          <w:tcPr>
            <w:tcW w:w="4675" w:type="dxa"/>
          </w:tcPr>
          <w:p w14:paraId="10EA86EC" w14:textId="77777777" w:rsidR="00A23F74" w:rsidRDefault="00A23F74" w:rsidP="006533EB">
            <w:pPr>
              <w:pStyle w:val="ListParagraph"/>
              <w:ind w:left="0"/>
              <w:rPr>
                <w:rFonts w:ascii="Arial" w:eastAsia="Verdana" w:hAnsi="Arial" w:cs="Arial"/>
                <w:sz w:val="20"/>
                <w:szCs w:val="20"/>
              </w:rPr>
            </w:pPr>
            <w:r>
              <w:rPr>
                <w:rFonts w:ascii="Arial" w:eastAsia="Verdana" w:hAnsi="Arial" w:cs="Arial"/>
                <w:sz w:val="20"/>
                <w:szCs w:val="20"/>
              </w:rPr>
              <w:t>We generally believe that allowing users to prospectively adopt guidance is useful.</w:t>
            </w:r>
          </w:p>
          <w:p w14:paraId="7FAFE102" w14:textId="77777777" w:rsidR="00A23F74" w:rsidRDefault="00A23F74" w:rsidP="006533EB">
            <w:pPr>
              <w:rPr>
                <w:rFonts w:ascii="Arial" w:eastAsia="Verdana" w:hAnsi="Arial" w:cs="Arial"/>
                <w:sz w:val="20"/>
                <w:szCs w:val="20"/>
              </w:rPr>
            </w:pPr>
          </w:p>
        </w:tc>
      </w:tr>
      <w:tr w:rsidR="00A23F74" w14:paraId="722058E8" w14:textId="77777777" w:rsidTr="00A23F74">
        <w:tc>
          <w:tcPr>
            <w:tcW w:w="4675" w:type="dxa"/>
          </w:tcPr>
          <w:p w14:paraId="5EF25EB1" w14:textId="54EF32E0" w:rsidR="00A23F74" w:rsidRDefault="00A23F74" w:rsidP="001E246F">
            <w:pPr>
              <w:rPr>
                <w:rFonts w:ascii="Arial" w:eastAsia="Verdana" w:hAnsi="Arial" w:cs="Arial"/>
                <w:sz w:val="20"/>
                <w:szCs w:val="20"/>
              </w:rPr>
            </w:pPr>
            <w:r w:rsidRPr="00A23F74">
              <w:rPr>
                <w:rFonts w:ascii="Arial" w:eastAsia="Verdana" w:hAnsi="Arial" w:cs="Arial"/>
                <w:b/>
                <w:bCs/>
                <w:sz w:val="20"/>
                <w:szCs w:val="20"/>
              </w:rPr>
              <w:t>Question 11</w:t>
            </w:r>
            <w:r w:rsidRPr="00A23F74">
              <w:rPr>
                <w:rFonts w:ascii="Arial" w:eastAsia="Verdana" w:hAnsi="Arial" w:cs="Arial"/>
                <w:sz w:val="20"/>
                <w:szCs w:val="20"/>
              </w:rPr>
              <w:t>: How much time is needed to implement the proposed amendments? Should early adoption be permitted? Please explain why or why not.</w:t>
            </w:r>
          </w:p>
        </w:tc>
        <w:tc>
          <w:tcPr>
            <w:tcW w:w="4675" w:type="dxa"/>
          </w:tcPr>
          <w:p w14:paraId="08022B2F" w14:textId="77777777" w:rsidR="00A23F74" w:rsidRPr="00B75123" w:rsidRDefault="00A23F74" w:rsidP="006533EB">
            <w:pPr>
              <w:pStyle w:val="ListParagraph"/>
              <w:ind w:left="0"/>
              <w:rPr>
                <w:rFonts w:ascii="Arial" w:eastAsia="Verdana" w:hAnsi="Arial" w:cs="Arial"/>
                <w:sz w:val="20"/>
                <w:szCs w:val="20"/>
              </w:rPr>
            </w:pPr>
            <w:r>
              <w:rPr>
                <w:rFonts w:ascii="Arial" w:eastAsia="Verdana" w:hAnsi="Arial" w:cs="Arial"/>
                <w:sz w:val="20"/>
                <w:szCs w:val="20"/>
              </w:rPr>
              <w:t xml:space="preserve">We prefer to defer to preparers to decide on a timeframe for adoption. </w:t>
            </w:r>
            <w:proofErr w:type="gramStart"/>
            <w:r>
              <w:rPr>
                <w:rFonts w:ascii="Arial" w:eastAsia="Verdana" w:hAnsi="Arial" w:cs="Arial"/>
                <w:sz w:val="20"/>
                <w:szCs w:val="20"/>
              </w:rPr>
              <w:t>That being said, we</w:t>
            </w:r>
            <w:proofErr w:type="gramEnd"/>
            <w:r>
              <w:rPr>
                <w:rFonts w:ascii="Arial" w:eastAsia="Verdana" w:hAnsi="Arial" w:cs="Arial"/>
                <w:sz w:val="20"/>
                <w:szCs w:val="20"/>
              </w:rPr>
              <w:t xml:space="preserve"> believe that early adoption should be permitted if users decide it is helpful.</w:t>
            </w:r>
          </w:p>
          <w:p w14:paraId="13279F8B" w14:textId="77777777" w:rsidR="00A23F74" w:rsidRDefault="00A23F74" w:rsidP="006533EB">
            <w:pPr>
              <w:rPr>
                <w:rFonts w:ascii="Arial" w:eastAsia="Verdana" w:hAnsi="Arial" w:cs="Arial"/>
                <w:sz w:val="20"/>
                <w:szCs w:val="20"/>
              </w:rPr>
            </w:pPr>
          </w:p>
        </w:tc>
      </w:tr>
    </w:tbl>
    <w:p w14:paraId="22F9C66C" w14:textId="77777777" w:rsidR="00A23F74" w:rsidRDefault="00A23F74" w:rsidP="001E246F">
      <w:pPr>
        <w:rPr>
          <w:rFonts w:ascii="Arial" w:eastAsia="Verdana" w:hAnsi="Arial" w:cs="Arial"/>
          <w:sz w:val="20"/>
          <w:szCs w:val="20"/>
        </w:rPr>
      </w:pPr>
    </w:p>
    <w:p w14:paraId="571D7509" w14:textId="77777777" w:rsidR="00A23F74" w:rsidRDefault="00A23F74" w:rsidP="001E246F">
      <w:pPr>
        <w:rPr>
          <w:rFonts w:ascii="Arial" w:eastAsia="Verdana" w:hAnsi="Arial" w:cs="Arial"/>
          <w:sz w:val="20"/>
          <w:szCs w:val="20"/>
        </w:rPr>
      </w:pPr>
    </w:p>
    <w:p w14:paraId="754EA98A" w14:textId="77777777" w:rsidR="001E246F" w:rsidRPr="004C3916" w:rsidRDefault="001E246F" w:rsidP="001E246F">
      <w:pPr>
        <w:rPr>
          <w:rFonts w:ascii="Arial" w:eastAsia="Verdana" w:hAnsi="Arial" w:cs="Arial"/>
          <w:sz w:val="20"/>
          <w:szCs w:val="20"/>
        </w:rPr>
      </w:pPr>
    </w:p>
    <w:p w14:paraId="72B5BC41" w14:textId="7FA7EBA6" w:rsidR="001E246F" w:rsidRPr="004C3916" w:rsidRDefault="001E246F" w:rsidP="001E246F">
      <w:pPr>
        <w:rPr>
          <w:rFonts w:ascii="Arial" w:eastAsia="Verdana" w:hAnsi="Arial" w:cs="Arial"/>
          <w:sz w:val="20"/>
          <w:szCs w:val="20"/>
        </w:rPr>
      </w:pPr>
      <w:r w:rsidRPr="004C3916">
        <w:rPr>
          <w:rFonts w:ascii="Arial" w:eastAsia="Verdana" w:hAnsi="Arial" w:cs="Arial"/>
          <w:sz w:val="20"/>
          <w:szCs w:val="20"/>
        </w:rPr>
        <w:t xml:space="preserve">The VSCPA appreciates the opportunity to respond to this ED. Please direct any questions or concerns to VSCPA Vice President, Advocacy Emily Walker, CAE, at </w:t>
      </w:r>
      <w:hyperlink r:id="rId11" w:history="1">
        <w:r w:rsidR="00015122" w:rsidRPr="004C3916">
          <w:rPr>
            <w:rStyle w:val="Hyperlink"/>
            <w:rFonts w:ascii="Arial" w:eastAsia="Verdana" w:hAnsi="Arial" w:cs="Arial"/>
            <w:sz w:val="20"/>
            <w:szCs w:val="20"/>
          </w:rPr>
          <w:t>ewalker@vscpa.com</w:t>
        </w:r>
      </w:hyperlink>
      <w:r w:rsidR="00015122" w:rsidRPr="004C3916">
        <w:rPr>
          <w:rFonts w:ascii="Arial" w:eastAsia="Verdana" w:hAnsi="Arial" w:cs="Arial"/>
          <w:sz w:val="20"/>
          <w:szCs w:val="20"/>
        </w:rPr>
        <w:t xml:space="preserve"> </w:t>
      </w:r>
      <w:r w:rsidRPr="004C3916">
        <w:rPr>
          <w:rFonts w:ascii="Arial" w:eastAsia="Verdana" w:hAnsi="Arial" w:cs="Arial"/>
          <w:sz w:val="20"/>
          <w:szCs w:val="20"/>
        </w:rPr>
        <w:t xml:space="preserve">or (804) 612- 9428. </w:t>
      </w:r>
    </w:p>
    <w:p w14:paraId="02D2A940" w14:textId="77777777" w:rsidR="00295205" w:rsidRPr="004C3916" w:rsidRDefault="00295205" w:rsidP="00295205">
      <w:pPr>
        <w:rPr>
          <w:rFonts w:ascii="Arial" w:eastAsia="Verdana" w:hAnsi="Arial" w:cs="Arial"/>
          <w:sz w:val="20"/>
          <w:szCs w:val="20"/>
        </w:rPr>
      </w:pPr>
    </w:p>
    <w:p w14:paraId="66B3B844" w14:textId="77777777" w:rsidR="00295205" w:rsidRPr="004C3916" w:rsidRDefault="00295205" w:rsidP="00295205">
      <w:pPr>
        <w:rPr>
          <w:rFonts w:ascii="Arial" w:eastAsia="Verdana" w:hAnsi="Arial" w:cs="Arial"/>
          <w:sz w:val="20"/>
          <w:szCs w:val="20"/>
        </w:rPr>
      </w:pPr>
      <w:r w:rsidRPr="004C3916">
        <w:rPr>
          <w:rFonts w:ascii="Arial" w:eastAsia="Verdana" w:hAnsi="Arial" w:cs="Arial"/>
          <w:sz w:val="20"/>
          <w:szCs w:val="20"/>
        </w:rPr>
        <w:t xml:space="preserve">Sincerely,  </w:t>
      </w:r>
    </w:p>
    <w:p w14:paraId="021A1E77" w14:textId="77777777" w:rsidR="00E9673C" w:rsidRPr="004C3916" w:rsidRDefault="00E9673C" w:rsidP="00295205">
      <w:pPr>
        <w:rPr>
          <w:rFonts w:ascii="Arial" w:eastAsia="Verdana" w:hAnsi="Arial" w:cs="Arial"/>
          <w:sz w:val="20"/>
          <w:szCs w:val="20"/>
        </w:rPr>
      </w:pPr>
    </w:p>
    <w:p w14:paraId="17B0F581" w14:textId="58256E64" w:rsidR="00295205" w:rsidRPr="004C3916" w:rsidRDefault="00BD3F2F" w:rsidP="00295205">
      <w:pPr>
        <w:rPr>
          <w:rFonts w:ascii="Arial" w:eastAsia="Verdana" w:hAnsi="Arial" w:cs="Arial"/>
          <w:sz w:val="20"/>
          <w:szCs w:val="20"/>
        </w:rPr>
      </w:pPr>
      <w:r>
        <w:rPr>
          <w:rFonts w:ascii="Arial" w:eastAsia="Verdana" w:hAnsi="Arial" w:cs="Arial"/>
          <w:sz w:val="20"/>
          <w:szCs w:val="20"/>
        </w:rPr>
        <w:t>Michael Phillips</w:t>
      </w:r>
      <w:r w:rsidR="00295205" w:rsidRPr="004C3916">
        <w:rPr>
          <w:rFonts w:ascii="Arial" w:eastAsia="Verdana" w:hAnsi="Arial" w:cs="Arial"/>
          <w:sz w:val="20"/>
          <w:szCs w:val="20"/>
        </w:rPr>
        <w:t xml:space="preserve">, CPA </w:t>
      </w:r>
    </w:p>
    <w:p w14:paraId="7AC71673" w14:textId="47D9258C" w:rsidR="00295205" w:rsidRPr="004C3916" w:rsidRDefault="00295205" w:rsidP="00295205">
      <w:pPr>
        <w:rPr>
          <w:rFonts w:ascii="Arial" w:eastAsia="Verdana" w:hAnsi="Arial" w:cs="Arial"/>
          <w:sz w:val="20"/>
          <w:szCs w:val="20"/>
        </w:rPr>
      </w:pPr>
      <w:r w:rsidRPr="004C3916">
        <w:rPr>
          <w:rFonts w:ascii="Arial" w:eastAsia="Verdana" w:hAnsi="Arial" w:cs="Arial"/>
          <w:sz w:val="20"/>
          <w:szCs w:val="20"/>
        </w:rPr>
        <w:t>Chair 202</w:t>
      </w:r>
      <w:r w:rsidR="00BD3F2F">
        <w:rPr>
          <w:rFonts w:ascii="Arial" w:eastAsia="Verdana" w:hAnsi="Arial" w:cs="Arial"/>
          <w:sz w:val="20"/>
          <w:szCs w:val="20"/>
        </w:rPr>
        <w:t>4</w:t>
      </w:r>
      <w:r w:rsidRPr="004C3916">
        <w:rPr>
          <w:rFonts w:ascii="Arial" w:eastAsia="Verdana" w:hAnsi="Arial" w:cs="Arial"/>
          <w:sz w:val="20"/>
          <w:szCs w:val="20"/>
        </w:rPr>
        <w:t>-202</w:t>
      </w:r>
      <w:r w:rsidR="00BD3F2F">
        <w:rPr>
          <w:rFonts w:ascii="Arial" w:eastAsia="Verdana" w:hAnsi="Arial" w:cs="Arial"/>
          <w:sz w:val="20"/>
          <w:szCs w:val="20"/>
        </w:rPr>
        <w:t>5</w:t>
      </w:r>
      <w:r w:rsidRPr="004C3916">
        <w:rPr>
          <w:rFonts w:ascii="Arial" w:eastAsia="Verdana" w:hAnsi="Arial" w:cs="Arial"/>
          <w:sz w:val="20"/>
          <w:szCs w:val="20"/>
        </w:rPr>
        <w:t xml:space="preserve"> </w:t>
      </w:r>
    </w:p>
    <w:p w14:paraId="42B529A5" w14:textId="77777777" w:rsidR="00295205" w:rsidRPr="004C3916" w:rsidRDefault="00295205" w:rsidP="00295205">
      <w:pPr>
        <w:rPr>
          <w:rFonts w:ascii="Arial" w:eastAsia="Verdana" w:hAnsi="Arial" w:cs="Arial"/>
          <w:sz w:val="20"/>
          <w:szCs w:val="20"/>
        </w:rPr>
      </w:pPr>
      <w:r w:rsidRPr="004C3916">
        <w:rPr>
          <w:rFonts w:ascii="Arial" w:eastAsia="Verdana" w:hAnsi="Arial" w:cs="Arial"/>
          <w:sz w:val="20"/>
          <w:szCs w:val="20"/>
        </w:rPr>
        <w:t>VSCPA Accounting &amp; Auditing Advisory Committee</w:t>
      </w:r>
    </w:p>
    <w:p w14:paraId="3B0B8020" w14:textId="77777777" w:rsidR="00295205" w:rsidRPr="004C3916" w:rsidRDefault="00295205" w:rsidP="00295205">
      <w:pPr>
        <w:rPr>
          <w:rFonts w:ascii="Arial" w:eastAsia="Verdana" w:hAnsi="Arial" w:cs="Arial"/>
          <w:sz w:val="20"/>
          <w:szCs w:val="20"/>
        </w:rPr>
      </w:pPr>
    </w:p>
    <w:p w14:paraId="433F15A7" w14:textId="06007DA1" w:rsidR="00295205" w:rsidRPr="004C3916" w:rsidRDefault="00295205" w:rsidP="00295205">
      <w:pPr>
        <w:rPr>
          <w:rFonts w:ascii="Arial" w:eastAsia="Verdana" w:hAnsi="Arial" w:cs="Arial"/>
          <w:b/>
          <w:bCs/>
          <w:sz w:val="20"/>
          <w:szCs w:val="20"/>
          <w:u w:val="single"/>
        </w:rPr>
      </w:pPr>
      <w:r w:rsidRPr="004C3916">
        <w:rPr>
          <w:rFonts w:ascii="Arial" w:eastAsia="Verdana" w:hAnsi="Arial" w:cs="Arial"/>
          <w:b/>
          <w:bCs/>
          <w:sz w:val="20"/>
          <w:szCs w:val="20"/>
          <w:u w:val="single"/>
        </w:rPr>
        <w:t>VSCPA Accounting &amp; Auditing Advisory Committee 202</w:t>
      </w:r>
      <w:r w:rsidR="00BD3F2F">
        <w:rPr>
          <w:rFonts w:ascii="Arial" w:eastAsia="Verdana" w:hAnsi="Arial" w:cs="Arial"/>
          <w:b/>
          <w:bCs/>
          <w:sz w:val="20"/>
          <w:szCs w:val="20"/>
          <w:u w:val="single"/>
        </w:rPr>
        <w:t>4</w:t>
      </w:r>
      <w:r w:rsidRPr="004C3916">
        <w:rPr>
          <w:rFonts w:ascii="Arial" w:eastAsia="Verdana" w:hAnsi="Arial" w:cs="Arial"/>
          <w:b/>
          <w:bCs/>
          <w:sz w:val="20"/>
          <w:szCs w:val="20"/>
          <w:u w:val="single"/>
        </w:rPr>
        <w:t>-202</w:t>
      </w:r>
      <w:r w:rsidR="00BD3F2F">
        <w:rPr>
          <w:rFonts w:ascii="Arial" w:eastAsia="Verdana" w:hAnsi="Arial" w:cs="Arial"/>
          <w:b/>
          <w:bCs/>
          <w:sz w:val="20"/>
          <w:szCs w:val="20"/>
          <w:u w:val="single"/>
        </w:rPr>
        <w:t>5</w:t>
      </w:r>
    </w:p>
    <w:p w14:paraId="662E9330" w14:textId="77777777" w:rsidR="00295205" w:rsidRPr="004C3916" w:rsidRDefault="00295205" w:rsidP="00295205">
      <w:pPr>
        <w:rPr>
          <w:rFonts w:ascii="Arial" w:eastAsia="Verdana" w:hAnsi="Arial" w:cs="Arial"/>
          <w:sz w:val="20"/>
          <w:szCs w:val="20"/>
        </w:rPr>
      </w:pPr>
    </w:p>
    <w:p w14:paraId="59D21403"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Michael Phillips, CPA —Chair</w:t>
      </w:r>
    </w:p>
    <w:p w14:paraId="6B569918"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Daniel Martin, CPA — Vice Chair</w:t>
      </w:r>
    </w:p>
    <w:p w14:paraId="743C1E09"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Zach Borgerding, CPA</w:t>
      </w:r>
    </w:p>
    <w:p w14:paraId="415923E6"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Joshua Keene, CPA  </w:t>
      </w:r>
    </w:p>
    <w:p w14:paraId="13C3064C"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Nick Kinsler, CPA </w:t>
      </w:r>
    </w:p>
    <w:p w14:paraId="3BD55FFC"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Brian Minor, CPA</w:t>
      </w:r>
    </w:p>
    <w:p w14:paraId="03D0203D"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Elisa Obillo, CPA</w:t>
      </w:r>
    </w:p>
    <w:p w14:paraId="627187E5"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Krisia Raya, CPA</w:t>
      </w:r>
    </w:p>
    <w:p w14:paraId="38773DD3"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Charles Valadez, CPA </w:t>
      </w:r>
    </w:p>
    <w:p w14:paraId="518B9521" w14:textId="77777777" w:rsidR="00D2441D" w:rsidRPr="00D2441D" w:rsidRDefault="00D2441D" w:rsidP="00D2441D">
      <w:pPr>
        <w:rPr>
          <w:rFonts w:ascii="Arial" w:eastAsia="Verdana" w:hAnsi="Arial" w:cs="Arial"/>
          <w:sz w:val="20"/>
          <w:szCs w:val="20"/>
        </w:rPr>
      </w:pPr>
      <w:r w:rsidRPr="00D2441D">
        <w:rPr>
          <w:rFonts w:ascii="Arial" w:eastAsia="Verdana" w:hAnsi="Arial" w:cs="Arial"/>
          <w:sz w:val="20"/>
          <w:szCs w:val="20"/>
        </w:rPr>
        <w:t>Natalya Yashina, CPA </w:t>
      </w:r>
    </w:p>
    <w:p w14:paraId="6E6C8B57" w14:textId="2C5BD39E" w:rsidR="00295205" w:rsidRPr="004C3916" w:rsidRDefault="00295205" w:rsidP="00D2441D">
      <w:pPr>
        <w:rPr>
          <w:rFonts w:ascii="Arial" w:eastAsia="Verdana" w:hAnsi="Arial" w:cs="Arial"/>
          <w:sz w:val="20"/>
          <w:szCs w:val="20"/>
        </w:rPr>
      </w:pPr>
    </w:p>
    <w:sectPr w:rsidR="00295205" w:rsidRPr="004C3916" w:rsidSect="00E53A46">
      <w:headerReference w:type="first" r:id="rId12"/>
      <w:footerReference w:type="first" r:id="rId13"/>
      <w:pgSz w:w="12240" w:h="15840" w:code="1"/>
      <w:pgMar w:top="1440" w:right="1440" w:bottom="1440" w:left="1440" w:header="446" w:footer="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06E0F" w14:textId="77777777" w:rsidR="006B1A95" w:rsidRDefault="006B1A95">
      <w:r>
        <w:separator/>
      </w:r>
    </w:p>
  </w:endnote>
  <w:endnote w:type="continuationSeparator" w:id="0">
    <w:p w14:paraId="38EC4B35" w14:textId="77777777" w:rsidR="006B1A95" w:rsidRDefault="006B1A95">
      <w:r>
        <w:continuationSeparator/>
      </w:r>
    </w:p>
  </w:endnote>
  <w:endnote w:type="continuationNotice" w:id="1">
    <w:p w14:paraId="220AA7DE" w14:textId="77777777" w:rsidR="006B1A95" w:rsidRDefault="006B1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21BE" w14:textId="77777777" w:rsidR="004237EA" w:rsidRPr="00A503D9" w:rsidRDefault="004237EA" w:rsidP="00FA769C">
    <w:pPr>
      <w:spacing w:line="360" w:lineRule="auto"/>
      <w:ind w:right="-900"/>
      <w:jc w:val="right"/>
      <w:rPr>
        <w:rFonts w:ascii="Arial" w:hAnsi="Arial" w:cs="Arial"/>
        <w:color w:val="4D4D4F"/>
        <w:sz w:val="16"/>
        <w:szCs w:val="16"/>
      </w:rPr>
    </w:pPr>
    <w:r w:rsidRPr="00A503D9">
      <w:rPr>
        <w:rFonts w:ascii="Arial" w:hAnsi="Arial" w:cs="Arial"/>
        <w:color w:val="4D4D4F"/>
        <w:sz w:val="16"/>
        <w:szCs w:val="16"/>
      </w:rPr>
      <w:t>4309 Cox Road</w:t>
    </w:r>
  </w:p>
  <w:p w14:paraId="04F36166" w14:textId="77777777" w:rsidR="004237EA" w:rsidRPr="00A503D9" w:rsidRDefault="004237EA" w:rsidP="00FA769C">
    <w:pPr>
      <w:spacing w:line="360" w:lineRule="auto"/>
      <w:ind w:right="-900"/>
      <w:jc w:val="right"/>
      <w:rPr>
        <w:rFonts w:ascii="Arial" w:hAnsi="Arial" w:cs="Arial"/>
        <w:color w:val="4D4D4F"/>
        <w:sz w:val="16"/>
        <w:szCs w:val="16"/>
      </w:rPr>
    </w:pPr>
    <w:r w:rsidRPr="00A503D9">
      <w:rPr>
        <w:rFonts w:ascii="Arial" w:hAnsi="Arial" w:cs="Arial"/>
        <w:color w:val="4D4D4F"/>
        <w:sz w:val="16"/>
        <w:szCs w:val="16"/>
      </w:rPr>
      <w:t>Glen Allen, VA 23060</w:t>
    </w:r>
  </w:p>
  <w:p w14:paraId="07EC44C6" w14:textId="77777777" w:rsidR="004237EA" w:rsidRPr="00A503D9" w:rsidRDefault="004237EA" w:rsidP="00FA769C">
    <w:pPr>
      <w:spacing w:line="360" w:lineRule="auto"/>
      <w:ind w:right="-900"/>
      <w:jc w:val="right"/>
      <w:rPr>
        <w:rFonts w:ascii="Arial" w:hAnsi="Arial" w:cs="Arial"/>
        <w:color w:val="4D4D4F"/>
        <w:sz w:val="16"/>
        <w:szCs w:val="16"/>
      </w:rPr>
    </w:pPr>
    <w:r w:rsidRPr="00A503D9">
      <w:rPr>
        <w:rFonts w:ascii="Arial" w:hAnsi="Arial" w:cs="Arial"/>
        <w:color w:val="4D4D4F"/>
        <w:sz w:val="16"/>
        <w:szCs w:val="16"/>
      </w:rPr>
      <w:t>p (804) 270-5344</w:t>
    </w:r>
  </w:p>
  <w:p w14:paraId="0E1714AF" w14:textId="77777777" w:rsidR="004237EA" w:rsidRPr="00A503D9" w:rsidRDefault="004237EA" w:rsidP="00FA769C">
    <w:pPr>
      <w:spacing w:line="360" w:lineRule="auto"/>
      <w:ind w:right="-900"/>
      <w:jc w:val="right"/>
      <w:rPr>
        <w:rFonts w:ascii="Arial" w:hAnsi="Arial" w:cs="Arial"/>
        <w:color w:val="4D4D4F"/>
        <w:sz w:val="16"/>
        <w:szCs w:val="16"/>
      </w:rPr>
    </w:pPr>
    <w:r w:rsidRPr="00A503D9">
      <w:rPr>
        <w:rFonts w:ascii="Arial" w:hAnsi="Arial" w:cs="Arial"/>
        <w:color w:val="4D4D4F"/>
        <w:sz w:val="16"/>
        <w:szCs w:val="16"/>
      </w:rPr>
      <w:t>f (804) 273-1741</w:t>
    </w:r>
  </w:p>
  <w:p w14:paraId="26812C42" w14:textId="77777777" w:rsidR="004237EA" w:rsidRPr="00A503D9" w:rsidRDefault="004237EA" w:rsidP="00FA769C">
    <w:pPr>
      <w:spacing w:line="360" w:lineRule="auto"/>
      <w:ind w:right="-900"/>
      <w:jc w:val="right"/>
      <w:rPr>
        <w:rFonts w:ascii="Arial" w:hAnsi="Arial" w:cs="Arial"/>
        <w:color w:val="4D4D4F"/>
        <w:sz w:val="16"/>
        <w:szCs w:val="16"/>
      </w:rPr>
    </w:pPr>
    <w:r w:rsidRPr="00A503D9">
      <w:rPr>
        <w:rFonts w:ascii="Arial" w:hAnsi="Arial" w:cs="Arial"/>
        <w:color w:val="4D4D4F"/>
        <w:sz w:val="16"/>
        <w:szCs w:val="16"/>
      </w:rPr>
      <w:t>vscpa@vscpa.com</w:t>
    </w:r>
  </w:p>
  <w:p w14:paraId="448B99AC" w14:textId="77777777" w:rsidR="004237EA" w:rsidRPr="00A503D9" w:rsidRDefault="004237EA" w:rsidP="00FA769C">
    <w:pPr>
      <w:spacing w:line="360" w:lineRule="auto"/>
      <w:ind w:right="-900"/>
      <w:jc w:val="right"/>
      <w:rPr>
        <w:rFonts w:ascii="Arial" w:hAnsi="Arial" w:cs="Arial"/>
        <w:color w:val="4D4D4F"/>
        <w:sz w:val="16"/>
        <w:szCs w:val="16"/>
      </w:rPr>
    </w:pPr>
    <w:r w:rsidRPr="00A503D9">
      <w:rPr>
        <w:rFonts w:ascii="Arial" w:hAnsi="Arial" w:cs="Arial"/>
        <w:color w:val="4D4D4F"/>
        <w:sz w:val="16"/>
        <w:szCs w:val="16"/>
      </w:rPr>
      <w:t>www.vscpa.com</w:t>
    </w:r>
  </w:p>
  <w:p w14:paraId="3A933014" w14:textId="77777777" w:rsidR="004237EA" w:rsidRPr="00A503D9" w:rsidRDefault="004237EA" w:rsidP="00115E90">
    <w:pPr>
      <w:pStyle w:val="Footer"/>
      <w:ind w:left="-720" w:right="216"/>
      <w:rPr>
        <w:color w:val="4D4D4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C289" w14:textId="77777777" w:rsidR="006B1A95" w:rsidRDefault="006B1A95">
      <w:r>
        <w:separator/>
      </w:r>
    </w:p>
  </w:footnote>
  <w:footnote w:type="continuationSeparator" w:id="0">
    <w:p w14:paraId="17EDBD6A" w14:textId="77777777" w:rsidR="006B1A95" w:rsidRDefault="006B1A95">
      <w:r>
        <w:continuationSeparator/>
      </w:r>
    </w:p>
  </w:footnote>
  <w:footnote w:type="continuationNotice" w:id="1">
    <w:p w14:paraId="0615A201" w14:textId="77777777" w:rsidR="006B1A95" w:rsidRDefault="006B1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6C21" w14:textId="77777777" w:rsidR="004237EA" w:rsidRDefault="407E776F" w:rsidP="00115E90">
    <w:pPr>
      <w:pStyle w:val="Header"/>
      <w:ind w:left="-900"/>
    </w:pPr>
    <w:r>
      <w:rPr>
        <w:noProof/>
      </w:rPr>
      <w:drawing>
        <wp:inline distT="0" distB="0" distL="0" distR="0" wp14:anchorId="6D413006" wp14:editId="34D6DA60">
          <wp:extent cx="1849878" cy="41169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849878" cy="411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4DE"/>
    <w:multiLevelType w:val="hybridMultilevel"/>
    <w:tmpl w:val="42B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7875"/>
    <w:multiLevelType w:val="hybridMultilevel"/>
    <w:tmpl w:val="C8DE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F3E"/>
    <w:multiLevelType w:val="hybridMultilevel"/>
    <w:tmpl w:val="A394EDD4"/>
    <w:lvl w:ilvl="0" w:tplc="FA7AA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2779D"/>
    <w:multiLevelType w:val="hybridMultilevel"/>
    <w:tmpl w:val="0E1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018CE"/>
    <w:multiLevelType w:val="hybridMultilevel"/>
    <w:tmpl w:val="7B3E6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E74107"/>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B2E644C"/>
    <w:multiLevelType w:val="hybridMultilevel"/>
    <w:tmpl w:val="1280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D1AC7"/>
    <w:multiLevelType w:val="hybridMultilevel"/>
    <w:tmpl w:val="0F7C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F2D75"/>
    <w:multiLevelType w:val="hybridMultilevel"/>
    <w:tmpl w:val="E0AA62F4"/>
    <w:lvl w:ilvl="0" w:tplc="E286F39A">
      <w:start w:val="1"/>
      <w:numFmt w:val="lowerLetter"/>
      <w:lvlText w:val="%1)"/>
      <w:lvlJc w:val="left"/>
      <w:pPr>
        <w:ind w:left="360" w:hanging="360"/>
      </w:pPr>
      <w:rPr>
        <w:rFonts w:hint="default"/>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26665B"/>
    <w:multiLevelType w:val="hybridMultilevel"/>
    <w:tmpl w:val="C67285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BE39C7"/>
    <w:multiLevelType w:val="hybridMultilevel"/>
    <w:tmpl w:val="70D89DD6"/>
    <w:lvl w:ilvl="0" w:tplc="462A2924">
      <w:start w:val="1"/>
      <w:numFmt w:val="bullet"/>
      <w:lvlText w:val=""/>
      <w:lvlJc w:val="left"/>
      <w:pPr>
        <w:tabs>
          <w:tab w:val="num" w:pos="720"/>
        </w:tabs>
        <w:ind w:left="720" w:hanging="360"/>
      </w:pPr>
      <w:rPr>
        <w:rFonts w:ascii="Symbol" w:hAnsi="Symbol" w:hint="default"/>
        <w:sz w:val="20"/>
      </w:rPr>
    </w:lvl>
    <w:lvl w:ilvl="1" w:tplc="A83EFBB6" w:tentative="1">
      <w:start w:val="1"/>
      <w:numFmt w:val="bullet"/>
      <w:lvlText w:val="o"/>
      <w:lvlJc w:val="left"/>
      <w:pPr>
        <w:tabs>
          <w:tab w:val="num" w:pos="1440"/>
        </w:tabs>
        <w:ind w:left="1440" w:hanging="360"/>
      </w:pPr>
      <w:rPr>
        <w:rFonts w:ascii="Courier New" w:hAnsi="Courier New" w:hint="default"/>
        <w:sz w:val="20"/>
      </w:rPr>
    </w:lvl>
    <w:lvl w:ilvl="2" w:tplc="F78AFFCE" w:tentative="1">
      <w:start w:val="1"/>
      <w:numFmt w:val="bullet"/>
      <w:lvlText w:val=""/>
      <w:lvlJc w:val="left"/>
      <w:pPr>
        <w:tabs>
          <w:tab w:val="num" w:pos="2160"/>
        </w:tabs>
        <w:ind w:left="2160" w:hanging="360"/>
      </w:pPr>
      <w:rPr>
        <w:rFonts w:ascii="Wingdings" w:hAnsi="Wingdings" w:hint="default"/>
        <w:sz w:val="20"/>
      </w:rPr>
    </w:lvl>
    <w:lvl w:ilvl="3" w:tplc="43628570" w:tentative="1">
      <w:start w:val="1"/>
      <w:numFmt w:val="bullet"/>
      <w:lvlText w:val=""/>
      <w:lvlJc w:val="left"/>
      <w:pPr>
        <w:tabs>
          <w:tab w:val="num" w:pos="2880"/>
        </w:tabs>
        <w:ind w:left="2880" w:hanging="360"/>
      </w:pPr>
      <w:rPr>
        <w:rFonts w:ascii="Wingdings" w:hAnsi="Wingdings" w:hint="default"/>
        <w:sz w:val="20"/>
      </w:rPr>
    </w:lvl>
    <w:lvl w:ilvl="4" w:tplc="8474D22E" w:tentative="1">
      <w:start w:val="1"/>
      <w:numFmt w:val="bullet"/>
      <w:lvlText w:val=""/>
      <w:lvlJc w:val="left"/>
      <w:pPr>
        <w:tabs>
          <w:tab w:val="num" w:pos="3600"/>
        </w:tabs>
        <w:ind w:left="3600" w:hanging="360"/>
      </w:pPr>
      <w:rPr>
        <w:rFonts w:ascii="Wingdings" w:hAnsi="Wingdings" w:hint="default"/>
        <w:sz w:val="20"/>
      </w:rPr>
    </w:lvl>
    <w:lvl w:ilvl="5" w:tplc="C32C2222" w:tentative="1">
      <w:start w:val="1"/>
      <w:numFmt w:val="bullet"/>
      <w:lvlText w:val=""/>
      <w:lvlJc w:val="left"/>
      <w:pPr>
        <w:tabs>
          <w:tab w:val="num" w:pos="4320"/>
        </w:tabs>
        <w:ind w:left="4320" w:hanging="360"/>
      </w:pPr>
      <w:rPr>
        <w:rFonts w:ascii="Wingdings" w:hAnsi="Wingdings" w:hint="default"/>
        <w:sz w:val="20"/>
      </w:rPr>
    </w:lvl>
    <w:lvl w:ilvl="6" w:tplc="FD18255A" w:tentative="1">
      <w:start w:val="1"/>
      <w:numFmt w:val="bullet"/>
      <w:lvlText w:val=""/>
      <w:lvlJc w:val="left"/>
      <w:pPr>
        <w:tabs>
          <w:tab w:val="num" w:pos="5040"/>
        </w:tabs>
        <w:ind w:left="5040" w:hanging="360"/>
      </w:pPr>
      <w:rPr>
        <w:rFonts w:ascii="Wingdings" w:hAnsi="Wingdings" w:hint="default"/>
        <w:sz w:val="20"/>
      </w:rPr>
    </w:lvl>
    <w:lvl w:ilvl="7" w:tplc="3DEE222E" w:tentative="1">
      <w:start w:val="1"/>
      <w:numFmt w:val="bullet"/>
      <w:lvlText w:val=""/>
      <w:lvlJc w:val="left"/>
      <w:pPr>
        <w:tabs>
          <w:tab w:val="num" w:pos="5760"/>
        </w:tabs>
        <w:ind w:left="5760" w:hanging="360"/>
      </w:pPr>
      <w:rPr>
        <w:rFonts w:ascii="Wingdings" w:hAnsi="Wingdings" w:hint="default"/>
        <w:sz w:val="20"/>
      </w:rPr>
    </w:lvl>
    <w:lvl w:ilvl="8" w:tplc="B660228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A1D54"/>
    <w:multiLevelType w:val="hybridMultilevel"/>
    <w:tmpl w:val="C9401600"/>
    <w:lvl w:ilvl="0" w:tplc="9CA27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F495C"/>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4754445"/>
    <w:multiLevelType w:val="hybridMultilevel"/>
    <w:tmpl w:val="7C868592"/>
    <w:lvl w:ilvl="0" w:tplc="E286F39A">
      <w:start w:val="1"/>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D91F51"/>
    <w:multiLevelType w:val="hybridMultilevel"/>
    <w:tmpl w:val="3D6E3692"/>
    <w:lvl w:ilvl="0" w:tplc="9CA27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C12D43"/>
    <w:multiLevelType w:val="hybridMultilevel"/>
    <w:tmpl w:val="FFFFFFFF"/>
    <w:lvl w:ilvl="0" w:tplc="BE846EE4">
      <w:start w:val="1"/>
      <w:numFmt w:val="decimal"/>
      <w:lvlText w:val="%1."/>
      <w:lvlJc w:val="left"/>
      <w:pPr>
        <w:ind w:left="360" w:hanging="360"/>
      </w:pPr>
      <w:rPr>
        <w:rFonts w:cs="Times New Roman" w:hint="default"/>
        <w:b w:val="0"/>
        <w:bCs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9FC2B43"/>
    <w:multiLevelType w:val="hybridMultilevel"/>
    <w:tmpl w:val="EF28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453A5"/>
    <w:multiLevelType w:val="hybridMultilevel"/>
    <w:tmpl w:val="318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54CBA"/>
    <w:multiLevelType w:val="hybridMultilevel"/>
    <w:tmpl w:val="D9BC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D6929"/>
    <w:multiLevelType w:val="hybridMultilevel"/>
    <w:tmpl w:val="4F0E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97688"/>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3427187"/>
    <w:multiLevelType w:val="hybridMultilevel"/>
    <w:tmpl w:val="41468330"/>
    <w:lvl w:ilvl="0" w:tplc="C38C441A">
      <w:start w:val="3"/>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52AD7"/>
    <w:multiLevelType w:val="hybridMultilevel"/>
    <w:tmpl w:val="54E8BF7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B969E4"/>
    <w:multiLevelType w:val="hybridMultilevel"/>
    <w:tmpl w:val="28664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709326">
    <w:abstractNumId w:val="19"/>
  </w:num>
  <w:num w:numId="2" w16cid:durableId="1356540489">
    <w:abstractNumId w:val="14"/>
  </w:num>
  <w:num w:numId="3" w16cid:durableId="1012996487">
    <w:abstractNumId w:val="11"/>
  </w:num>
  <w:num w:numId="4" w16cid:durableId="1280910687">
    <w:abstractNumId w:val="6"/>
  </w:num>
  <w:num w:numId="5" w16cid:durableId="1554737473">
    <w:abstractNumId w:val="1"/>
  </w:num>
  <w:num w:numId="6" w16cid:durableId="960720409">
    <w:abstractNumId w:val="17"/>
  </w:num>
  <w:num w:numId="7" w16cid:durableId="1823159629">
    <w:abstractNumId w:val="3"/>
  </w:num>
  <w:num w:numId="8" w16cid:durableId="1151363493">
    <w:abstractNumId w:val="10"/>
  </w:num>
  <w:num w:numId="9" w16cid:durableId="872424333">
    <w:abstractNumId w:val="0"/>
  </w:num>
  <w:num w:numId="10" w16cid:durableId="851919027">
    <w:abstractNumId w:val="7"/>
  </w:num>
  <w:num w:numId="11" w16cid:durableId="922564565">
    <w:abstractNumId w:val="18"/>
  </w:num>
  <w:num w:numId="12" w16cid:durableId="1149253699">
    <w:abstractNumId w:val="8"/>
  </w:num>
  <w:num w:numId="13" w16cid:durableId="1530677321">
    <w:abstractNumId w:val="22"/>
  </w:num>
  <w:num w:numId="14" w16cid:durableId="47799679">
    <w:abstractNumId w:val="9"/>
  </w:num>
  <w:num w:numId="15" w16cid:durableId="907498581">
    <w:abstractNumId w:val="2"/>
  </w:num>
  <w:num w:numId="16" w16cid:durableId="1071385889">
    <w:abstractNumId w:val="4"/>
  </w:num>
  <w:num w:numId="17" w16cid:durableId="1362899260">
    <w:abstractNumId w:val="21"/>
  </w:num>
  <w:num w:numId="18" w16cid:durableId="1735735043">
    <w:abstractNumId w:val="23"/>
  </w:num>
  <w:num w:numId="19" w16cid:durableId="896665822">
    <w:abstractNumId w:val="13"/>
  </w:num>
  <w:num w:numId="20" w16cid:durableId="1743984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6498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7046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142648">
    <w:abstractNumId w:val="15"/>
  </w:num>
  <w:num w:numId="24" w16cid:durableId="411316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D3"/>
    <w:rsid w:val="000011E2"/>
    <w:rsid w:val="000017ED"/>
    <w:rsid w:val="00005E5E"/>
    <w:rsid w:val="000106F6"/>
    <w:rsid w:val="00015122"/>
    <w:rsid w:val="00016497"/>
    <w:rsid w:val="000177F0"/>
    <w:rsid w:val="00020D3C"/>
    <w:rsid w:val="000222F2"/>
    <w:rsid w:val="00030135"/>
    <w:rsid w:val="00030B5B"/>
    <w:rsid w:val="00035D99"/>
    <w:rsid w:val="000405DA"/>
    <w:rsid w:val="0004276E"/>
    <w:rsid w:val="00042A88"/>
    <w:rsid w:val="00043ACE"/>
    <w:rsid w:val="00043D60"/>
    <w:rsid w:val="00046B7B"/>
    <w:rsid w:val="000547ED"/>
    <w:rsid w:val="00076A4D"/>
    <w:rsid w:val="00076F72"/>
    <w:rsid w:val="00085522"/>
    <w:rsid w:val="00085DC3"/>
    <w:rsid w:val="00090230"/>
    <w:rsid w:val="0009718F"/>
    <w:rsid w:val="0009785F"/>
    <w:rsid w:val="000978E0"/>
    <w:rsid w:val="000A2D10"/>
    <w:rsid w:val="000A2ED1"/>
    <w:rsid w:val="000B0346"/>
    <w:rsid w:val="000B2225"/>
    <w:rsid w:val="000C054F"/>
    <w:rsid w:val="000C1C95"/>
    <w:rsid w:val="000C249C"/>
    <w:rsid w:val="000C32D2"/>
    <w:rsid w:val="000C6762"/>
    <w:rsid w:val="000D75FE"/>
    <w:rsid w:val="000D79FF"/>
    <w:rsid w:val="000E3C2E"/>
    <w:rsid w:val="000F2386"/>
    <w:rsid w:val="000F4E33"/>
    <w:rsid w:val="00102641"/>
    <w:rsid w:val="0010372F"/>
    <w:rsid w:val="00104605"/>
    <w:rsid w:val="00104CD3"/>
    <w:rsid w:val="001106E1"/>
    <w:rsid w:val="00111FCD"/>
    <w:rsid w:val="00113BE2"/>
    <w:rsid w:val="00114250"/>
    <w:rsid w:val="00115E90"/>
    <w:rsid w:val="00120CB4"/>
    <w:rsid w:val="00126B96"/>
    <w:rsid w:val="00126F21"/>
    <w:rsid w:val="001320D2"/>
    <w:rsid w:val="00133A4F"/>
    <w:rsid w:val="00137185"/>
    <w:rsid w:val="00141B42"/>
    <w:rsid w:val="00142AC8"/>
    <w:rsid w:val="00145283"/>
    <w:rsid w:val="00146E78"/>
    <w:rsid w:val="0015775A"/>
    <w:rsid w:val="00160F42"/>
    <w:rsid w:val="00161BAE"/>
    <w:rsid w:val="00161D4C"/>
    <w:rsid w:val="00171B79"/>
    <w:rsid w:val="00173172"/>
    <w:rsid w:val="001809D0"/>
    <w:rsid w:val="00192583"/>
    <w:rsid w:val="001A6732"/>
    <w:rsid w:val="001A68C3"/>
    <w:rsid w:val="001A7020"/>
    <w:rsid w:val="001B615A"/>
    <w:rsid w:val="001C420E"/>
    <w:rsid w:val="001CBDB6"/>
    <w:rsid w:val="001D061E"/>
    <w:rsid w:val="001D586D"/>
    <w:rsid w:val="001E1C5B"/>
    <w:rsid w:val="001E246F"/>
    <w:rsid w:val="001F1FB0"/>
    <w:rsid w:val="001F646C"/>
    <w:rsid w:val="001F7709"/>
    <w:rsid w:val="001F7A96"/>
    <w:rsid w:val="0020021B"/>
    <w:rsid w:val="00200E36"/>
    <w:rsid w:val="002026E9"/>
    <w:rsid w:val="00206A99"/>
    <w:rsid w:val="00213F92"/>
    <w:rsid w:val="002162F2"/>
    <w:rsid w:val="00216AA7"/>
    <w:rsid w:val="00216CA1"/>
    <w:rsid w:val="00220E2E"/>
    <w:rsid w:val="00221A97"/>
    <w:rsid w:val="00221C8B"/>
    <w:rsid w:val="0022573E"/>
    <w:rsid w:val="00225EEA"/>
    <w:rsid w:val="00232342"/>
    <w:rsid w:val="00234E58"/>
    <w:rsid w:val="00235090"/>
    <w:rsid w:val="0023563E"/>
    <w:rsid w:val="00235BA0"/>
    <w:rsid w:val="00240A86"/>
    <w:rsid w:val="00243BC8"/>
    <w:rsid w:val="002473A0"/>
    <w:rsid w:val="002502C9"/>
    <w:rsid w:val="002515DC"/>
    <w:rsid w:val="00254AAB"/>
    <w:rsid w:val="0026415F"/>
    <w:rsid w:val="002709C2"/>
    <w:rsid w:val="00276564"/>
    <w:rsid w:val="00277229"/>
    <w:rsid w:val="002805B6"/>
    <w:rsid w:val="002809DA"/>
    <w:rsid w:val="00280E93"/>
    <w:rsid w:val="0029492E"/>
    <w:rsid w:val="00295205"/>
    <w:rsid w:val="002A5BEF"/>
    <w:rsid w:val="002B0011"/>
    <w:rsid w:val="002B5173"/>
    <w:rsid w:val="002C109F"/>
    <w:rsid w:val="002C4E26"/>
    <w:rsid w:val="002C75BB"/>
    <w:rsid w:val="002D3A98"/>
    <w:rsid w:val="002D6A1D"/>
    <w:rsid w:val="002D76A8"/>
    <w:rsid w:val="002E34EC"/>
    <w:rsid w:val="002E654C"/>
    <w:rsid w:val="002F3E8C"/>
    <w:rsid w:val="002F46E4"/>
    <w:rsid w:val="003051CB"/>
    <w:rsid w:val="003121EF"/>
    <w:rsid w:val="00314C79"/>
    <w:rsid w:val="00331FC4"/>
    <w:rsid w:val="00334CCA"/>
    <w:rsid w:val="00335AAC"/>
    <w:rsid w:val="003441AA"/>
    <w:rsid w:val="00350BF7"/>
    <w:rsid w:val="00353AAA"/>
    <w:rsid w:val="00354A31"/>
    <w:rsid w:val="00354C0D"/>
    <w:rsid w:val="00361CB3"/>
    <w:rsid w:val="0036403B"/>
    <w:rsid w:val="00367A38"/>
    <w:rsid w:val="00373797"/>
    <w:rsid w:val="00374763"/>
    <w:rsid w:val="00375DEF"/>
    <w:rsid w:val="0037691C"/>
    <w:rsid w:val="00380240"/>
    <w:rsid w:val="00380D37"/>
    <w:rsid w:val="00381EA8"/>
    <w:rsid w:val="003826B9"/>
    <w:rsid w:val="00397135"/>
    <w:rsid w:val="003A4241"/>
    <w:rsid w:val="003A5D19"/>
    <w:rsid w:val="003B2289"/>
    <w:rsid w:val="003B4B71"/>
    <w:rsid w:val="003C2583"/>
    <w:rsid w:val="003C25B3"/>
    <w:rsid w:val="003C7773"/>
    <w:rsid w:val="003D17E8"/>
    <w:rsid w:val="003D1A53"/>
    <w:rsid w:val="003D1B26"/>
    <w:rsid w:val="003D309C"/>
    <w:rsid w:val="003E4B9B"/>
    <w:rsid w:val="003F316B"/>
    <w:rsid w:val="003F6142"/>
    <w:rsid w:val="003F67F2"/>
    <w:rsid w:val="003F7429"/>
    <w:rsid w:val="00401A42"/>
    <w:rsid w:val="00403013"/>
    <w:rsid w:val="00405119"/>
    <w:rsid w:val="00406B45"/>
    <w:rsid w:val="004105F7"/>
    <w:rsid w:val="00412684"/>
    <w:rsid w:val="00412C1A"/>
    <w:rsid w:val="004135F8"/>
    <w:rsid w:val="004145EA"/>
    <w:rsid w:val="00414A53"/>
    <w:rsid w:val="00416C5C"/>
    <w:rsid w:val="00416D4B"/>
    <w:rsid w:val="004227A7"/>
    <w:rsid w:val="004237EA"/>
    <w:rsid w:val="00423A12"/>
    <w:rsid w:val="004245BD"/>
    <w:rsid w:val="00426398"/>
    <w:rsid w:val="004265B3"/>
    <w:rsid w:val="004265C9"/>
    <w:rsid w:val="0043239C"/>
    <w:rsid w:val="00436280"/>
    <w:rsid w:val="004400B1"/>
    <w:rsid w:val="00441DEF"/>
    <w:rsid w:val="004473AE"/>
    <w:rsid w:val="00455469"/>
    <w:rsid w:val="0045591C"/>
    <w:rsid w:val="004568E7"/>
    <w:rsid w:val="00460059"/>
    <w:rsid w:val="004636CD"/>
    <w:rsid w:val="00463CA2"/>
    <w:rsid w:val="004648BE"/>
    <w:rsid w:val="00464D66"/>
    <w:rsid w:val="00472AE5"/>
    <w:rsid w:val="004773B0"/>
    <w:rsid w:val="004773D7"/>
    <w:rsid w:val="004779BE"/>
    <w:rsid w:val="004920E4"/>
    <w:rsid w:val="004947D0"/>
    <w:rsid w:val="004971CC"/>
    <w:rsid w:val="004A04FE"/>
    <w:rsid w:val="004A4661"/>
    <w:rsid w:val="004A72CB"/>
    <w:rsid w:val="004A7B30"/>
    <w:rsid w:val="004C3916"/>
    <w:rsid w:val="004D2815"/>
    <w:rsid w:val="004E15FC"/>
    <w:rsid w:val="004E44C4"/>
    <w:rsid w:val="004F2670"/>
    <w:rsid w:val="004F6592"/>
    <w:rsid w:val="004F6AA2"/>
    <w:rsid w:val="004F7321"/>
    <w:rsid w:val="00503E6E"/>
    <w:rsid w:val="005043D6"/>
    <w:rsid w:val="005066AF"/>
    <w:rsid w:val="00506B0C"/>
    <w:rsid w:val="0051085E"/>
    <w:rsid w:val="005111A7"/>
    <w:rsid w:val="00514CD6"/>
    <w:rsid w:val="00516DA6"/>
    <w:rsid w:val="0051793C"/>
    <w:rsid w:val="00517E6A"/>
    <w:rsid w:val="00520C94"/>
    <w:rsid w:val="00520FE1"/>
    <w:rsid w:val="00523201"/>
    <w:rsid w:val="005233F5"/>
    <w:rsid w:val="00530D35"/>
    <w:rsid w:val="005327BA"/>
    <w:rsid w:val="00533156"/>
    <w:rsid w:val="00537726"/>
    <w:rsid w:val="005412F1"/>
    <w:rsid w:val="00541698"/>
    <w:rsid w:val="0054177C"/>
    <w:rsid w:val="00550327"/>
    <w:rsid w:val="00556B07"/>
    <w:rsid w:val="005602EB"/>
    <w:rsid w:val="0056097C"/>
    <w:rsid w:val="00561E6A"/>
    <w:rsid w:val="00562400"/>
    <w:rsid w:val="00562A6E"/>
    <w:rsid w:val="00565091"/>
    <w:rsid w:val="005839AF"/>
    <w:rsid w:val="00585AD2"/>
    <w:rsid w:val="0059026C"/>
    <w:rsid w:val="00592342"/>
    <w:rsid w:val="005928BD"/>
    <w:rsid w:val="005936DD"/>
    <w:rsid w:val="005959A5"/>
    <w:rsid w:val="00596B0B"/>
    <w:rsid w:val="0059786E"/>
    <w:rsid w:val="005A3945"/>
    <w:rsid w:val="005A3965"/>
    <w:rsid w:val="005A68E2"/>
    <w:rsid w:val="005B2D77"/>
    <w:rsid w:val="005B3882"/>
    <w:rsid w:val="005C082C"/>
    <w:rsid w:val="005C168B"/>
    <w:rsid w:val="005C5A95"/>
    <w:rsid w:val="005C71A0"/>
    <w:rsid w:val="005D015C"/>
    <w:rsid w:val="005E2AB6"/>
    <w:rsid w:val="005E4048"/>
    <w:rsid w:val="005F3DF8"/>
    <w:rsid w:val="00605C74"/>
    <w:rsid w:val="00605E9D"/>
    <w:rsid w:val="00606885"/>
    <w:rsid w:val="006105AE"/>
    <w:rsid w:val="006106A1"/>
    <w:rsid w:val="006128CE"/>
    <w:rsid w:val="00612C22"/>
    <w:rsid w:val="006148D0"/>
    <w:rsid w:val="00615138"/>
    <w:rsid w:val="00615CF7"/>
    <w:rsid w:val="00626C1E"/>
    <w:rsid w:val="00627A89"/>
    <w:rsid w:val="00630317"/>
    <w:rsid w:val="0063194B"/>
    <w:rsid w:val="00631C71"/>
    <w:rsid w:val="006328A6"/>
    <w:rsid w:val="00635046"/>
    <w:rsid w:val="00635385"/>
    <w:rsid w:val="00635461"/>
    <w:rsid w:val="00636E81"/>
    <w:rsid w:val="006378EE"/>
    <w:rsid w:val="006441D2"/>
    <w:rsid w:val="00646ADC"/>
    <w:rsid w:val="0065139A"/>
    <w:rsid w:val="006533EB"/>
    <w:rsid w:val="006562FF"/>
    <w:rsid w:val="00657D5D"/>
    <w:rsid w:val="006624DF"/>
    <w:rsid w:val="00667880"/>
    <w:rsid w:val="006718F7"/>
    <w:rsid w:val="006764DA"/>
    <w:rsid w:val="0067728F"/>
    <w:rsid w:val="00677463"/>
    <w:rsid w:val="00681121"/>
    <w:rsid w:val="00687FF2"/>
    <w:rsid w:val="00692017"/>
    <w:rsid w:val="0069498C"/>
    <w:rsid w:val="0069695C"/>
    <w:rsid w:val="006A5CB5"/>
    <w:rsid w:val="006A6C83"/>
    <w:rsid w:val="006A705B"/>
    <w:rsid w:val="006B1A95"/>
    <w:rsid w:val="006B2393"/>
    <w:rsid w:val="006B2F4E"/>
    <w:rsid w:val="006B3C85"/>
    <w:rsid w:val="006B492C"/>
    <w:rsid w:val="006B6CC3"/>
    <w:rsid w:val="006C27C1"/>
    <w:rsid w:val="006C3814"/>
    <w:rsid w:val="006E4CA3"/>
    <w:rsid w:val="006F5E72"/>
    <w:rsid w:val="007002CA"/>
    <w:rsid w:val="00702BAC"/>
    <w:rsid w:val="007063D5"/>
    <w:rsid w:val="00706698"/>
    <w:rsid w:val="00706BC5"/>
    <w:rsid w:val="00714C97"/>
    <w:rsid w:val="0072001D"/>
    <w:rsid w:val="00720166"/>
    <w:rsid w:val="007205C4"/>
    <w:rsid w:val="0072084D"/>
    <w:rsid w:val="00722D61"/>
    <w:rsid w:val="0072519C"/>
    <w:rsid w:val="0072703C"/>
    <w:rsid w:val="007308C8"/>
    <w:rsid w:val="0073696B"/>
    <w:rsid w:val="00736B69"/>
    <w:rsid w:val="00737731"/>
    <w:rsid w:val="00741C72"/>
    <w:rsid w:val="00744A8E"/>
    <w:rsid w:val="00745825"/>
    <w:rsid w:val="00745E71"/>
    <w:rsid w:val="0075256B"/>
    <w:rsid w:val="00753611"/>
    <w:rsid w:val="0076193E"/>
    <w:rsid w:val="007678E8"/>
    <w:rsid w:val="00771ACD"/>
    <w:rsid w:val="00771F2B"/>
    <w:rsid w:val="00775919"/>
    <w:rsid w:val="00780F7C"/>
    <w:rsid w:val="00781C86"/>
    <w:rsid w:val="00785236"/>
    <w:rsid w:val="00786124"/>
    <w:rsid w:val="00787A9F"/>
    <w:rsid w:val="00794622"/>
    <w:rsid w:val="00795E30"/>
    <w:rsid w:val="007963DF"/>
    <w:rsid w:val="007A600A"/>
    <w:rsid w:val="007A7216"/>
    <w:rsid w:val="007B004D"/>
    <w:rsid w:val="007B0605"/>
    <w:rsid w:val="007B2C14"/>
    <w:rsid w:val="007B3267"/>
    <w:rsid w:val="007B34DC"/>
    <w:rsid w:val="007B4324"/>
    <w:rsid w:val="007B7A98"/>
    <w:rsid w:val="007C1EC3"/>
    <w:rsid w:val="007C444C"/>
    <w:rsid w:val="007C5959"/>
    <w:rsid w:val="007C6AFA"/>
    <w:rsid w:val="007D4284"/>
    <w:rsid w:val="007D7F97"/>
    <w:rsid w:val="007E2FE0"/>
    <w:rsid w:val="007F0028"/>
    <w:rsid w:val="007F395D"/>
    <w:rsid w:val="0080254E"/>
    <w:rsid w:val="00804319"/>
    <w:rsid w:val="00807A3C"/>
    <w:rsid w:val="00811BFE"/>
    <w:rsid w:val="00821E19"/>
    <w:rsid w:val="00821EC1"/>
    <w:rsid w:val="00823123"/>
    <w:rsid w:val="0083312E"/>
    <w:rsid w:val="0083413D"/>
    <w:rsid w:val="00837113"/>
    <w:rsid w:val="00840135"/>
    <w:rsid w:val="00842330"/>
    <w:rsid w:val="008439BE"/>
    <w:rsid w:val="008455C8"/>
    <w:rsid w:val="008518BA"/>
    <w:rsid w:val="008550AC"/>
    <w:rsid w:val="00856112"/>
    <w:rsid w:val="00861DA0"/>
    <w:rsid w:val="00867614"/>
    <w:rsid w:val="008676ED"/>
    <w:rsid w:val="00871F79"/>
    <w:rsid w:val="00881874"/>
    <w:rsid w:val="00882FC4"/>
    <w:rsid w:val="00884982"/>
    <w:rsid w:val="008854D4"/>
    <w:rsid w:val="00887246"/>
    <w:rsid w:val="008930E2"/>
    <w:rsid w:val="0089419C"/>
    <w:rsid w:val="0089450D"/>
    <w:rsid w:val="00896F93"/>
    <w:rsid w:val="00897BDB"/>
    <w:rsid w:val="00897D14"/>
    <w:rsid w:val="008A1709"/>
    <w:rsid w:val="008A1B32"/>
    <w:rsid w:val="008A1EF5"/>
    <w:rsid w:val="008A5187"/>
    <w:rsid w:val="008A63EC"/>
    <w:rsid w:val="008B0EF5"/>
    <w:rsid w:val="008B176F"/>
    <w:rsid w:val="008B342F"/>
    <w:rsid w:val="008B51F5"/>
    <w:rsid w:val="008C2405"/>
    <w:rsid w:val="008C7639"/>
    <w:rsid w:val="008D0DE7"/>
    <w:rsid w:val="008D3AD0"/>
    <w:rsid w:val="008E510C"/>
    <w:rsid w:val="008F0413"/>
    <w:rsid w:val="008F1187"/>
    <w:rsid w:val="008F4D38"/>
    <w:rsid w:val="008F7B1F"/>
    <w:rsid w:val="00905AEC"/>
    <w:rsid w:val="00905CDA"/>
    <w:rsid w:val="00915203"/>
    <w:rsid w:val="009215D3"/>
    <w:rsid w:val="00921675"/>
    <w:rsid w:val="0092282C"/>
    <w:rsid w:val="009247B0"/>
    <w:rsid w:val="0092595B"/>
    <w:rsid w:val="0093342A"/>
    <w:rsid w:val="00937351"/>
    <w:rsid w:val="0094302A"/>
    <w:rsid w:val="009506EF"/>
    <w:rsid w:val="009514DC"/>
    <w:rsid w:val="00961C54"/>
    <w:rsid w:val="00963440"/>
    <w:rsid w:val="00965858"/>
    <w:rsid w:val="009707AD"/>
    <w:rsid w:val="009723FE"/>
    <w:rsid w:val="00974E0F"/>
    <w:rsid w:val="0097706D"/>
    <w:rsid w:val="00983272"/>
    <w:rsid w:val="00983F97"/>
    <w:rsid w:val="00986027"/>
    <w:rsid w:val="009863FC"/>
    <w:rsid w:val="00987D63"/>
    <w:rsid w:val="009908FA"/>
    <w:rsid w:val="0099407D"/>
    <w:rsid w:val="009A1073"/>
    <w:rsid w:val="009B21E7"/>
    <w:rsid w:val="009B6442"/>
    <w:rsid w:val="009C4881"/>
    <w:rsid w:val="009C761B"/>
    <w:rsid w:val="009C7868"/>
    <w:rsid w:val="009D5DDA"/>
    <w:rsid w:val="009E32D8"/>
    <w:rsid w:val="009E66DF"/>
    <w:rsid w:val="009E79E9"/>
    <w:rsid w:val="009F1592"/>
    <w:rsid w:val="009F4515"/>
    <w:rsid w:val="00A011AE"/>
    <w:rsid w:val="00A02450"/>
    <w:rsid w:val="00A02B46"/>
    <w:rsid w:val="00A03853"/>
    <w:rsid w:val="00A23F74"/>
    <w:rsid w:val="00A2521D"/>
    <w:rsid w:val="00A26D52"/>
    <w:rsid w:val="00A31FA5"/>
    <w:rsid w:val="00A41532"/>
    <w:rsid w:val="00A46269"/>
    <w:rsid w:val="00A503D9"/>
    <w:rsid w:val="00A54B4A"/>
    <w:rsid w:val="00A57EE4"/>
    <w:rsid w:val="00A61811"/>
    <w:rsid w:val="00A67BAF"/>
    <w:rsid w:val="00A71659"/>
    <w:rsid w:val="00A7460A"/>
    <w:rsid w:val="00A7687D"/>
    <w:rsid w:val="00A77207"/>
    <w:rsid w:val="00A82A60"/>
    <w:rsid w:val="00AA1B23"/>
    <w:rsid w:val="00AA294A"/>
    <w:rsid w:val="00AA37B4"/>
    <w:rsid w:val="00AB1D95"/>
    <w:rsid w:val="00AC4ADF"/>
    <w:rsid w:val="00AD1A2E"/>
    <w:rsid w:val="00AD1FE7"/>
    <w:rsid w:val="00AD35E8"/>
    <w:rsid w:val="00AD6518"/>
    <w:rsid w:val="00AD7EB7"/>
    <w:rsid w:val="00AE0BB7"/>
    <w:rsid w:val="00AF118A"/>
    <w:rsid w:val="00AF199B"/>
    <w:rsid w:val="00AF5274"/>
    <w:rsid w:val="00B135EB"/>
    <w:rsid w:val="00B15296"/>
    <w:rsid w:val="00B154FD"/>
    <w:rsid w:val="00B210DE"/>
    <w:rsid w:val="00B25ADF"/>
    <w:rsid w:val="00B260EA"/>
    <w:rsid w:val="00B2692A"/>
    <w:rsid w:val="00B43943"/>
    <w:rsid w:val="00B4793B"/>
    <w:rsid w:val="00B552D2"/>
    <w:rsid w:val="00B56BD0"/>
    <w:rsid w:val="00B60781"/>
    <w:rsid w:val="00B62BD1"/>
    <w:rsid w:val="00B6536B"/>
    <w:rsid w:val="00B67CE3"/>
    <w:rsid w:val="00B73AAF"/>
    <w:rsid w:val="00B75123"/>
    <w:rsid w:val="00B8277C"/>
    <w:rsid w:val="00B8358C"/>
    <w:rsid w:val="00B8596E"/>
    <w:rsid w:val="00B9044A"/>
    <w:rsid w:val="00B92090"/>
    <w:rsid w:val="00B953EC"/>
    <w:rsid w:val="00B96B7E"/>
    <w:rsid w:val="00B96BBA"/>
    <w:rsid w:val="00BA0122"/>
    <w:rsid w:val="00BA2EF1"/>
    <w:rsid w:val="00BB29C2"/>
    <w:rsid w:val="00BC6949"/>
    <w:rsid w:val="00BD0C7E"/>
    <w:rsid w:val="00BD10DB"/>
    <w:rsid w:val="00BD2080"/>
    <w:rsid w:val="00BD3F2F"/>
    <w:rsid w:val="00BE0D61"/>
    <w:rsid w:val="00BE139A"/>
    <w:rsid w:val="00BE23DB"/>
    <w:rsid w:val="00BF59A1"/>
    <w:rsid w:val="00BF6A00"/>
    <w:rsid w:val="00BF70EB"/>
    <w:rsid w:val="00C008EB"/>
    <w:rsid w:val="00C10FBC"/>
    <w:rsid w:val="00C21672"/>
    <w:rsid w:val="00C32A6E"/>
    <w:rsid w:val="00C32D7D"/>
    <w:rsid w:val="00C3314F"/>
    <w:rsid w:val="00C41C2B"/>
    <w:rsid w:val="00C51662"/>
    <w:rsid w:val="00C5251A"/>
    <w:rsid w:val="00C55322"/>
    <w:rsid w:val="00C57E48"/>
    <w:rsid w:val="00C57FAB"/>
    <w:rsid w:val="00C60B74"/>
    <w:rsid w:val="00C61ED3"/>
    <w:rsid w:val="00C63342"/>
    <w:rsid w:val="00C64B64"/>
    <w:rsid w:val="00C65EA1"/>
    <w:rsid w:val="00C67FBB"/>
    <w:rsid w:val="00C706F6"/>
    <w:rsid w:val="00C71E11"/>
    <w:rsid w:val="00C71FFF"/>
    <w:rsid w:val="00C75B1F"/>
    <w:rsid w:val="00C84113"/>
    <w:rsid w:val="00C844F1"/>
    <w:rsid w:val="00C85DBC"/>
    <w:rsid w:val="00C86B77"/>
    <w:rsid w:val="00C91100"/>
    <w:rsid w:val="00C91D68"/>
    <w:rsid w:val="00C936AE"/>
    <w:rsid w:val="00CA3C6D"/>
    <w:rsid w:val="00CA5639"/>
    <w:rsid w:val="00CA5F8A"/>
    <w:rsid w:val="00CB13AE"/>
    <w:rsid w:val="00CC2F83"/>
    <w:rsid w:val="00CC4E88"/>
    <w:rsid w:val="00CD13C6"/>
    <w:rsid w:val="00CD41DD"/>
    <w:rsid w:val="00CE5F20"/>
    <w:rsid w:val="00CF395E"/>
    <w:rsid w:val="00D00416"/>
    <w:rsid w:val="00D0337B"/>
    <w:rsid w:val="00D067C8"/>
    <w:rsid w:val="00D06FAD"/>
    <w:rsid w:val="00D0787D"/>
    <w:rsid w:val="00D127F5"/>
    <w:rsid w:val="00D16F85"/>
    <w:rsid w:val="00D23439"/>
    <w:rsid w:val="00D2441D"/>
    <w:rsid w:val="00D27C21"/>
    <w:rsid w:val="00D3187B"/>
    <w:rsid w:val="00D33047"/>
    <w:rsid w:val="00D35B51"/>
    <w:rsid w:val="00D36121"/>
    <w:rsid w:val="00D400C7"/>
    <w:rsid w:val="00D43891"/>
    <w:rsid w:val="00D4530C"/>
    <w:rsid w:val="00D4715B"/>
    <w:rsid w:val="00D613B2"/>
    <w:rsid w:val="00D623E0"/>
    <w:rsid w:val="00D67DFD"/>
    <w:rsid w:val="00D710E2"/>
    <w:rsid w:val="00D71A11"/>
    <w:rsid w:val="00D7202D"/>
    <w:rsid w:val="00D73B07"/>
    <w:rsid w:val="00D75BE9"/>
    <w:rsid w:val="00D77463"/>
    <w:rsid w:val="00D9058B"/>
    <w:rsid w:val="00D918B0"/>
    <w:rsid w:val="00D92454"/>
    <w:rsid w:val="00D95EF6"/>
    <w:rsid w:val="00DA1E76"/>
    <w:rsid w:val="00DA22BA"/>
    <w:rsid w:val="00DA7187"/>
    <w:rsid w:val="00DC6187"/>
    <w:rsid w:val="00DD2A40"/>
    <w:rsid w:val="00DD4B98"/>
    <w:rsid w:val="00DE1066"/>
    <w:rsid w:val="00DE5BAB"/>
    <w:rsid w:val="00DF0CBF"/>
    <w:rsid w:val="00DF6E4F"/>
    <w:rsid w:val="00DF721A"/>
    <w:rsid w:val="00E02BB3"/>
    <w:rsid w:val="00E06E8D"/>
    <w:rsid w:val="00E11555"/>
    <w:rsid w:val="00E13B4B"/>
    <w:rsid w:val="00E15B54"/>
    <w:rsid w:val="00E21CD4"/>
    <w:rsid w:val="00E2476E"/>
    <w:rsid w:val="00E247F2"/>
    <w:rsid w:val="00E32147"/>
    <w:rsid w:val="00E35D0C"/>
    <w:rsid w:val="00E4041B"/>
    <w:rsid w:val="00E51E38"/>
    <w:rsid w:val="00E53A46"/>
    <w:rsid w:val="00E53A94"/>
    <w:rsid w:val="00E53CEE"/>
    <w:rsid w:val="00E54F12"/>
    <w:rsid w:val="00E57AD8"/>
    <w:rsid w:val="00E60FC6"/>
    <w:rsid w:val="00E632E3"/>
    <w:rsid w:val="00E654AC"/>
    <w:rsid w:val="00E7089A"/>
    <w:rsid w:val="00E80CB3"/>
    <w:rsid w:val="00E82DE0"/>
    <w:rsid w:val="00E92C9F"/>
    <w:rsid w:val="00E92FCA"/>
    <w:rsid w:val="00E9673C"/>
    <w:rsid w:val="00EA327C"/>
    <w:rsid w:val="00EA441E"/>
    <w:rsid w:val="00EB5810"/>
    <w:rsid w:val="00EB6D47"/>
    <w:rsid w:val="00EC410E"/>
    <w:rsid w:val="00EC4668"/>
    <w:rsid w:val="00ED2A0B"/>
    <w:rsid w:val="00EDD24C"/>
    <w:rsid w:val="00EE2DB2"/>
    <w:rsid w:val="00EF14C0"/>
    <w:rsid w:val="00EF1D83"/>
    <w:rsid w:val="00EF4F52"/>
    <w:rsid w:val="00EF5E7A"/>
    <w:rsid w:val="00EF6A4E"/>
    <w:rsid w:val="00EF7BFD"/>
    <w:rsid w:val="00F05AAB"/>
    <w:rsid w:val="00F1572B"/>
    <w:rsid w:val="00F16632"/>
    <w:rsid w:val="00F23083"/>
    <w:rsid w:val="00F248C5"/>
    <w:rsid w:val="00F24AFD"/>
    <w:rsid w:val="00F26E91"/>
    <w:rsid w:val="00F31BD4"/>
    <w:rsid w:val="00F359AC"/>
    <w:rsid w:val="00F35F43"/>
    <w:rsid w:val="00F4099F"/>
    <w:rsid w:val="00F42699"/>
    <w:rsid w:val="00F45CF3"/>
    <w:rsid w:val="00F470B8"/>
    <w:rsid w:val="00F56399"/>
    <w:rsid w:val="00F56C8D"/>
    <w:rsid w:val="00F57685"/>
    <w:rsid w:val="00F603CF"/>
    <w:rsid w:val="00F62F7F"/>
    <w:rsid w:val="00F7075E"/>
    <w:rsid w:val="00F74C1C"/>
    <w:rsid w:val="00F90CB6"/>
    <w:rsid w:val="00F91EA3"/>
    <w:rsid w:val="00FA023E"/>
    <w:rsid w:val="00FA02F2"/>
    <w:rsid w:val="00FA2E7C"/>
    <w:rsid w:val="00FA4CAB"/>
    <w:rsid w:val="00FA591F"/>
    <w:rsid w:val="00FA6EF3"/>
    <w:rsid w:val="00FA769C"/>
    <w:rsid w:val="00FB0A9D"/>
    <w:rsid w:val="00FC0141"/>
    <w:rsid w:val="00FD2B30"/>
    <w:rsid w:val="00FD660F"/>
    <w:rsid w:val="00FE39F4"/>
    <w:rsid w:val="00FE5B1D"/>
    <w:rsid w:val="00FF1116"/>
    <w:rsid w:val="00FF2C46"/>
    <w:rsid w:val="12B37240"/>
    <w:rsid w:val="1A346397"/>
    <w:rsid w:val="2A351DA7"/>
    <w:rsid w:val="2ED0D74E"/>
    <w:rsid w:val="34D6DA60"/>
    <w:rsid w:val="3C88928D"/>
    <w:rsid w:val="3DCC1AFA"/>
    <w:rsid w:val="407E776F"/>
    <w:rsid w:val="41319BCC"/>
    <w:rsid w:val="47B4FAC6"/>
    <w:rsid w:val="52C45764"/>
    <w:rsid w:val="715DC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C027C"/>
  <w15:docId w15:val="{83C9C639-228F-4DF2-A5A3-82E5F73D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076F72"/>
    <w:rPr>
      <w:color w:val="0000FF" w:themeColor="hyperlink"/>
      <w:u w:val="single"/>
    </w:rPr>
  </w:style>
  <w:style w:type="paragraph" w:styleId="BalloonText">
    <w:name w:val="Balloon Text"/>
    <w:basedOn w:val="Normal"/>
    <w:link w:val="BalloonTextChar"/>
    <w:uiPriority w:val="99"/>
    <w:semiHidden/>
    <w:unhideWhenUsed/>
    <w:rsid w:val="00076F72"/>
    <w:rPr>
      <w:rFonts w:ascii="Tahoma" w:hAnsi="Tahoma" w:cs="Tahoma"/>
      <w:sz w:val="16"/>
      <w:szCs w:val="16"/>
    </w:rPr>
  </w:style>
  <w:style w:type="character" w:customStyle="1" w:styleId="BalloonTextChar">
    <w:name w:val="Balloon Text Char"/>
    <w:basedOn w:val="DefaultParagraphFont"/>
    <w:link w:val="BalloonText"/>
    <w:uiPriority w:val="99"/>
    <w:semiHidden/>
    <w:rsid w:val="00076F72"/>
    <w:rPr>
      <w:rFonts w:ascii="Tahoma" w:hAnsi="Tahoma" w:cs="Tahoma"/>
      <w:sz w:val="16"/>
      <w:szCs w:val="16"/>
    </w:rPr>
  </w:style>
  <w:style w:type="table" w:styleId="TableGrid">
    <w:name w:val="Table Grid"/>
    <w:basedOn w:val="TableNormal"/>
    <w:uiPriority w:val="59"/>
    <w:rsid w:val="007270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083"/>
    <w:pPr>
      <w:ind w:left="720"/>
      <w:contextualSpacing/>
    </w:pPr>
  </w:style>
  <w:style w:type="character" w:styleId="UnresolvedMention">
    <w:name w:val="Unresolved Mention"/>
    <w:basedOn w:val="DefaultParagraphFont"/>
    <w:uiPriority w:val="99"/>
    <w:semiHidden/>
    <w:unhideWhenUsed/>
    <w:rsid w:val="00635046"/>
    <w:rPr>
      <w:color w:val="605E5C"/>
      <w:shd w:val="clear" w:color="auto" w:fill="E1DFDD"/>
    </w:rPr>
  </w:style>
  <w:style w:type="character" w:styleId="CommentReference">
    <w:name w:val="annotation reference"/>
    <w:basedOn w:val="DefaultParagraphFont"/>
    <w:uiPriority w:val="99"/>
    <w:semiHidden/>
    <w:unhideWhenUsed/>
    <w:rsid w:val="00276564"/>
    <w:rPr>
      <w:sz w:val="16"/>
      <w:szCs w:val="16"/>
    </w:rPr>
  </w:style>
  <w:style w:type="paragraph" w:styleId="CommentText">
    <w:name w:val="annotation text"/>
    <w:basedOn w:val="Normal"/>
    <w:link w:val="CommentTextChar"/>
    <w:uiPriority w:val="99"/>
    <w:semiHidden/>
    <w:unhideWhenUsed/>
    <w:rsid w:val="00276564"/>
    <w:rPr>
      <w:sz w:val="20"/>
      <w:szCs w:val="20"/>
    </w:rPr>
  </w:style>
  <w:style w:type="character" w:customStyle="1" w:styleId="CommentTextChar">
    <w:name w:val="Comment Text Char"/>
    <w:basedOn w:val="DefaultParagraphFont"/>
    <w:link w:val="CommentText"/>
    <w:uiPriority w:val="99"/>
    <w:semiHidden/>
    <w:rsid w:val="00276564"/>
  </w:style>
  <w:style w:type="paragraph" w:styleId="CommentSubject">
    <w:name w:val="annotation subject"/>
    <w:basedOn w:val="CommentText"/>
    <w:next w:val="CommentText"/>
    <w:link w:val="CommentSubjectChar"/>
    <w:uiPriority w:val="99"/>
    <w:semiHidden/>
    <w:unhideWhenUsed/>
    <w:rsid w:val="00276564"/>
    <w:rPr>
      <w:b/>
      <w:bCs/>
    </w:rPr>
  </w:style>
  <w:style w:type="character" w:customStyle="1" w:styleId="CommentSubjectChar">
    <w:name w:val="Comment Subject Char"/>
    <w:basedOn w:val="CommentTextChar"/>
    <w:link w:val="CommentSubject"/>
    <w:uiPriority w:val="99"/>
    <w:semiHidden/>
    <w:rsid w:val="00276564"/>
    <w:rPr>
      <w:b/>
      <w:bCs/>
    </w:rPr>
  </w:style>
  <w:style w:type="paragraph" w:styleId="Revision">
    <w:name w:val="Revision"/>
    <w:hidden/>
    <w:uiPriority w:val="99"/>
    <w:semiHidden/>
    <w:rsid w:val="004E15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434389">
      <w:bodyDiv w:val="1"/>
      <w:marLeft w:val="0"/>
      <w:marRight w:val="0"/>
      <w:marTop w:val="0"/>
      <w:marBottom w:val="0"/>
      <w:divBdr>
        <w:top w:val="none" w:sz="0" w:space="0" w:color="auto"/>
        <w:left w:val="none" w:sz="0" w:space="0" w:color="auto"/>
        <w:bottom w:val="none" w:sz="0" w:space="0" w:color="auto"/>
        <w:right w:val="none" w:sz="0" w:space="0" w:color="auto"/>
      </w:divBdr>
    </w:div>
    <w:div w:id="17340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walker@vscp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rector@fas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cf6382-ddcb-460d-a212-8dc03ad9c820" xsi:nil="true"/>
    <lcf76f155ced4ddcb4097134ff3c332f xmlns="04cf6382-ddcb-460d-a212-8dc03ad9c820">
      <Terms xmlns="http://schemas.microsoft.com/office/infopath/2007/PartnerControls"/>
    </lcf76f155ced4ddcb4097134ff3c332f>
    <TaxCatchAll xmlns="c7a8b97a-b933-4453-aa8b-1fe340e553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CCD9DCACFA664FBE3E63284CCC512D" ma:contentTypeVersion="19" ma:contentTypeDescription="Create a new document." ma:contentTypeScope="" ma:versionID="fd0498d86dd02d670576eeba5470590d">
  <xsd:schema xmlns:xsd="http://www.w3.org/2001/XMLSchema" xmlns:xs="http://www.w3.org/2001/XMLSchema" xmlns:p="http://schemas.microsoft.com/office/2006/metadata/properties" xmlns:ns2="04cf6382-ddcb-460d-a212-8dc03ad9c820" xmlns:ns3="c7a8b97a-b933-4453-aa8b-1fe340e55328" targetNamespace="http://schemas.microsoft.com/office/2006/metadata/properties" ma:root="true" ma:fieldsID="06c0915f008de09187988ee84157f764" ns2:_="" ns3:_="">
    <xsd:import namespace="04cf6382-ddcb-460d-a212-8dc03ad9c820"/>
    <xsd:import namespace="c7a8b97a-b933-4453-aa8b-1fe340e553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f6382-ddcb-460d-a212-8dc03ad9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d26942-2c86-4322-8a19-70377388167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8b97a-b933-4453-aa8b-1fe340e553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77d3793-0883-4cdf-97b5-7ae26df29da6}" ma:internalName="TaxCatchAll" ma:showField="CatchAllData" ma:web="c7a8b97a-b933-4453-aa8b-1fe340e55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4C8D7-3540-4C66-AD61-6336957151D7}">
  <ds:schemaRefs>
    <ds:schemaRef ds:uri="http://schemas.microsoft.com/sharepoint/v3/contenttype/forms"/>
  </ds:schemaRefs>
</ds:datastoreItem>
</file>

<file path=customXml/itemProps2.xml><?xml version="1.0" encoding="utf-8"?>
<ds:datastoreItem xmlns:ds="http://schemas.openxmlformats.org/officeDocument/2006/customXml" ds:itemID="{C7CDE69B-13CF-4DC4-AD0E-D141CA62AF8B}">
  <ds:schemaRefs>
    <ds:schemaRef ds:uri="http://schemas.microsoft.com/office/2006/metadata/properties"/>
    <ds:schemaRef ds:uri="http://schemas.microsoft.com/office/infopath/2007/PartnerControls"/>
    <ds:schemaRef ds:uri="04cf6382-ddcb-460d-a212-8dc03ad9c820"/>
  </ds:schemaRefs>
</ds:datastoreItem>
</file>

<file path=customXml/itemProps3.xml><?xml version="1.0" encoding="utf-8"?>
<ds:datastoreItem xmlns:ds="http://schemas.openxmlformats.org/officeDocument/2006/customXml" ds:itemID="{3A8D8EED-AEE5-4C51-8840-F0FDA97B7DC5}"/>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6035</Characters>
  <Application>Microsoft Office Word</Application>
  <DocSecurity>0</DocSecurity>
  <Lines>193</Lines>
  <Paragraphs>51</Paragraphs>
  <ScaleCrop>false</ScaleCrop>
  <HeadingPairs>
    <vt:vector size="2" baseType="variant">
      <vt:variant>
        <vt:lpstr>Title</vt:lpstr>
      </vt:variant>
      <vt:variant>
        <vt:i4>1</vt:i4>
      </vt:variant>
    </vt:vector>
  </HeadingPairs>
  <TitlesOfParts>
    <vt:vector size="1" baseType="lpstr">
      <vt:lpstr/>
    </vt:vector>
  </TitlesOfParts>
  <Company>Virginia Society Of Certified Public Accountants</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Walker</dc:creator>
  <cp:keywords/>
  <cp:lastModifiedBy>Emily Walker</cp:lastModifiedBy>
  <cp:revision>6</cp:revision>
  <cp:lastPrinted>2025-03-31T18:35:00Z</cp:lastPrinted>
  <dcterms:created xsi:type="dcterms:W3CDTF">2025-03-31T18:32:00Z</dcterms:created>
  <dcterms:modified xsi:type="dcterms:W3CDTF">2025-03-31T18:35:00Z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0x010100A3CCD9DCACFA664FBE3E63284CCC512D</vt:lpwstr>
  </property>
  <property fmtid="{D5CDD505-2E9C-101B-9397-08002B2CF9AE}" pid="3" name="AuthorIds_UIVersion_3072">
    <vt:lpwstr>6</vt:lpwstr>
  </property>
</Properties>
</file>